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216" w:rsidRPr="00E83216" w:rsidRDefault="00E83216" w:rsidP="00BD3380">
      <w:pPr>
        <w:bidi/>
        <w:spacing w:after="0" w:line="240" w:lineRule="auto"/>
        <w:jc w:val="both"/>
        <w:rPr>
          <w:rFonts w:ascii="Simplified Arabic" w:hAnsi="Simplified Arabic" w:cs="Simplified Arabic" w:hint="cs"/>
          <w:b/>
          <w:bCs/>
          <w:sz w:val="28"/>
          <w:szCs w:val="28"/>
          <w:lang w:bidi="ar-DZ"/>
        </w:rPr>
      </w:pPr>
      <w:r w:rsidRPr="00E83216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الملخص:</w:t>
      </w:r>
    </w:p>
    <w:p w:rsidR="00803877" w:rsidRDefault="00803877" w:rsidP="00E83216">
      <w:pPr>
        <w:bidi/>
        <w:spacing w:after="0" w:line="240" w:lineRule="auto"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 w:rsidRPr="00C60C3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يهدف موضوع البحث إلى دراسة قنوات تدويل الخطر المالي، وأثرها على أسواق رأس المال في الدول رأس المال في دول مجلس التعاون الخليجي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( السعودية، الإمارات، البحرين، عمان، قطر، الكويت)</w:t>
      </w:r>
      <w:r w:rsidR="004C1295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باعتبارها أكثر الدول العربية انفتاحا على العالم الخارجي</w:t>
      </w:r>
      <w:r w:rsidR="00BD3380">
        <w:rPr>
          <w:rFonts w:ascii="Simplified Arabic" w:hAnsi="Simplified Arabic" w:cs="Simplified Arabic"/>
          <w:sz w:val="28"/>
          <w:szCs w:val="28"/>
          <w:lang w:bidi="ar-DZ"/>
        </w:rPr>
        <w:t>.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باستخدام أسلوب بيانات السلاسل الزمنية المقطعية</w:t>
      </w:r>
      <w:r>
        <w:rPr>
          <w:rFonts w:ascii="Simplified Arabic" w:hAnsi="Simplified Arabic" w:cs="Simplified Arabic"/>
          <w:sz w:val="28"/>
          <w:szCs w:val="28"/>
          <w:lang w:bidi="ar-DZ"/>
        </w:rPr>
        <w:t>(Panel Data)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خلال الفترة الممتدة من 2003 إلى 2013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803877" w:rsidRPr="00C60C39" w:rsidRDefault="00803877" w:rsidP="00803877">
      <w:pPr>
        <w:bidi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الكلمات المفتاحية: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عولمة مالية، تدويل الخطر المالي، انفتاح تجاري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ومالي،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أزمات مالية.</w:t>
      </w:r>
    </w:p>
    <w:p w:rsidR="00803877" w:rsidRDefault="00803877" w:rsidP="00803877">
      <w:pPr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Résumé :</w:t>
      </w:r>
    </w:p>
    <w:p w:rsidR="00BD3380" w:rsidRDefault="00803877" w:rsidP="00BD3380">
      <w:pPr>
        <w:spacing w:after="0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L'objectif de cette recherche est d'étudier les voies d'internationalisation du risque financier, de son impact sur les marchés des capitaux dans les pays du </w:t>
      </w:r>
      <w:proofErr w:type="gramStart"/>
      <w:r>
        <w:rPr>
          <w:rFonts w:asciiTheme="majorBidi" w:hAnsiTheme="majorBidi" w:cstheme="majorBidi"/>
          <w:sz w:val="28"/>
          <w:szCs w:val="28"/>
          <w:lang w:bidi="ar-DZ"/>
        </w:rPr>
        <w:t>CCG</w:t>
      </w:r>
      <w:r w:rsidR="004C1295">
        <w:rPr>
          <w:rFonts w:asciiTheme="majorBidi" w:hAnsiTheme="majorBidi" w:cstheme="majorBidi"/>
          <w:sz w:val="28"/>
          <w:szCs w:val="28"/>
          <w:lang w:bidi="ar-DZ"/>
        </w:rPr>
        <w:t>(</w:t>
      </w:r>
      <w:proofErr w:type="gramEnd"/>
      <w:r w:rsidR="004C1295">
        <w:rPr>
          <w:rFonts w:asciiTheme="majorBidi" w:hAnsiTheme="majorBidi" w:cstheme="majorBidi"/>
          <w:sz w:val="28"/>
          <w:szCs w:val="28"/>
          <w:lang w:bidi="ar-DZ"/>
        </w:rPr>
        <w:t>Arabie saoudite, EAU, Bahreïn, Oman, Qatar et Koweït)</w:t>
      </w:r>
      <w:r w:rsidR="004C1295">
        <w:rPr>
          <w:rFonts w:asciiTheme="majorBidi" w:hAnsiTheme="majorBidi" w:cstheme="majorBidi"/>
          <w:sz w:val="28"/>
          <w:szCs w:val="28"/>
          <w:lang w:bidi="ar-DZ"/>
        </w:rPr>
        <w:t>,</w:t>
      </w:r>
      <w:r w:rsidR="004C1295" w:rsidRPr="004C129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4C1295">
        <w:rPr>
          <w:rFonts w:asciiTheme="majorBidi" w:hAnsiTheme="majorBidi" w:cstheme="majorBidi"/>
          <w:sz w:val="28"/>
          <w:szCs w:val="28"/>
          <w:lang w:bidi="ar-DZ"/>
        </w:rPr>
        <w:t>qu’ils sont considérés comme les pays arabes les plus ouverts sur le monde extérieur</w:t>
      </w:r>
      <w:r w:rsidR="004C1295">
        <w:rPr>
          <w:rFonts w:asciiTheme="majorBidi" w:hAnsiTheme="majorBidi" w:cstheme="majorBidi"/>
          <w:sz w:val="28"/>
          <w:szCs w:val="28"/>
          <w:lang w:bidi="ar-DZ"/>
        </w:rPr>
        <w:t>.</w:t>
      </w:r>
      <w:r w:rsidR="00BD3380" w:rsidRPr="00BD3380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gramStart"/>
      <w:r w:rsidR="00BD3380">
        <w:rPr>
          <w:rFonts w:asciiTheme="majorBidi" w:hAnsiTheme="majorBidi" w:cstheme="majorBidi"/>
          <w:sz w:val="28"/>
          <w:szCs w:val="28"/>
          <w:lang w:bidi="ar-DZ"/>
        </w:rPr>
        <w:t>en</w:t>
      </w:r>
      <w:proofErr w:type="gramEnd"/>
      <w:r w:rsidR="00BD3380">
        <w:rPr>
          <w:rFonts w:asciiTheme="majorBidi" w:hAnsiTheme="majorBidi" w:cstheme="majorBidi"/>
          <w:sz w:val="28"/>
          <w:szCs w:val="28"/>
          <w:lang w:bidi="ar-DZ"/>
        </w:rPr>
        <w:t xml:space="preserve"> utilisant la méthode des données (Panel Data)</w:t>
      </w:r>
      <w:r w:rsidR="00BD3380">
        <w:rPr>
          <w:rFonts w:asciiTheme="majorBidi" w:hAnsiTheme="majorBidi" w:cstheme="majorBidi"/>
          <w:sz w:val="28"/>
          <w:szCs w:val="28"/>
          <w:lang w:bidi="ar-DZ"/>
        </w:rPr>
        <w:t>,</w:t>
      </w:r>
      <w:r w:rsidR="00BD3380" w:rsidRPr="00BD3380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BD3380">
        <w:rPr>
          <w:rFonts w:asciiTheme="majorBidi" w:hAnsiTheme="majorBidi" w:cstheme="majorBidi"/>
          <w:sz w:val="28"/>
          <w:szCs w:val="28"/>
          <w:lang w:bidi="ar-DZ"/>
        </w:rPr>
        <w:t>L’étude a constaté, entre 2003 et 2013</w:t>
      </w:r>
      <w:r w:rsidR="00BD3380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803877" w:rsidRDefault="00E83216" w:rsidP="00E83216">
      <w:pPr>
        <w:spacing w:after="0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</w:t>
      </w:r>
      <w:r w:rsidR="00803877">
        <w:rPr>
          <w:rFonts w:asciiTheme="majorBidi" w:hAnsiTheme="majorBidi" w:cstheme="majorBidi"/>
          <w:sz w:val="28"/>
          <w:szCs w:val="28"/>
          <w:lang w:bidi="ar-DZ"/>
        </w:rPr>
        <w:t>Mots clés : mondialisation financière, internationalisation des risques financiers, ouverture commerciale et financière, crises financières.</w:t>
      </w:r>
    </w:p>
    <w:p w:rsidR="00803877" w:rsidRDefault="00803877" w:rsidP="00BD3380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</w:pPr>
      <w:proofErr w:type="gramStart"/>
      <w:r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Abstract :</w:t>
      </w:r>
      <w:proofErr w:type="gramEnd"/>
    </w:p>
    <w:p w:rsidR="00BD3380" w:rsidRDefault="00803877" w:rsidP="00E83216">
      <w:pPr>
        <w:spacing w:after="0" w:line="240" w:lineRule="auto"/>
        <w:ind w:firstLine="708"/>
        <w:jc w:val="both"/>
        <w:rPr>
          <w:rFonts w:asciiTheme="majorBidi" w:hAnsiTheme="majorBidi" w:cstheme="majorBidi"/>
          <w:sz w:val="28"/>
          <w:szCs w:val="28"/>
          <w:lang w:val="en-US" w:bidi="ar-DZ"/>
        </w:rPr>
      </w:pPr>
      <w:r>
        <w:rPr>
          <w:rFonts w:asciiTheme="majorBidi" w:hAnsiTheme="majorBidi" w:cstheme="majorBidi"/>
          <w:sz w:val="28"/>
          <w:szCs w:val="28"/>
          <w:lang w:val="en-US" w:bidi="ar-DZ"/>
        </w:rPr>
        <w:t xml:space="preserve">The target of the research title is to study the cannel’s financial risk, and its effects on the equity capital’s markets in the countries of the Gulf Cooperation </w:t>
      </w:r>
      <w:proofErr w:type="gramStart"/>
      <w:r>
        <w:rPr>
          <w:rFonts w:asciiTheme="majorBidi" w:hAnsiTheme="majorBidi" w:cstheme="majorBidi"/>
          <w:sz w:val="28"/>
          <w:szCs w:val="28"/>
          <w:lang w:val="en-US" w:bidi="ar-DZ"/>
        </w:rPr>
        <w:t>Council  (</w:t>
      </w:r>
      <w:proofErr w:type="gramEnd"/>
      <w:r>
        <w:rPr>
          <w:rFonts w:asciiTheme="majorBidi" w:hAnsiTheme="majorBidi" w:cstheme="majorBidi"/>
          <w:sz w:val="28"/>
          <w:szCs w:val="28"/>
          <w:lang w:val="en-US" w:bidi="ar-DZ"/>
        </w:rPr>
        <w:t>GCC)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>(</w:t>
      </w:r>
      <w:r w:rsidR="00BD3380" w:rsidRP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 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>Saudi Arabia, Emirate, Bahrain, Oman, Qatar, Kuwait)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, 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>since it is considered as the most Arabic countries openness to the outside world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, 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>by a standard study using  a panel data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>,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 in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 the period from 2003 till 2013.</w:t>
      </w:r>
      <w:r w:rsidR="00BD3380">
        <w:rPr>
          <w:rFonts w:asciiTheme="majorBidi" w:hAnsiTheme="majorBidi" w:cstheme="majorBidi"/>
          <w:sz w:val="28"/>
          <w:szCs w:val="28"/>
          <w:lang w:val="en-US" w:bidi="ar-DZ"/>
        </w:rPr>
        <w:t xml:space="preserve"> </w:t>
      </w:r>
    </w:p>
    <w:p w:rsidR="00803877" w:rsidRDefault="00803877" w:rsidP="00155E98">
      <w:pPr>
        <w:spacing w:line="240" w:lineRule="auto"/>
        <w:ind w:firstLine="708"/>
        <w:jc w:val="both"/>
        <w:rPr>
          <w:rFonts w:asciiTheme="majorBidi" w:hAnsiTheme="majorBidi" w:cstheme="majorBidi"/>
          <w:sz w:val="28"/>
          <w:szCs w:val="28"/>
          <w:lang w:val="en-US" w:bidi="ar-DZ"/>
        </w:rPr>
      </w:pPr>
      <w:r w:rsidRPr="00E83216">
        <w:rPr>
          <w:rFonts w:asciiTheme="majorBidi" w:hAnsiTheme="majorBidi" w:cstheme="majorBidi"/>
          <w:sz w:val="28"/>
          <w:szCs w:val="28"/>
          <w:lang w:val="en-US" w:bidi="ar-DZ"/>
        </w:rPr>
        <w:t>Key words</w:t>
      </w:r>
      <w:r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  <w:t>:</w:t>
      </w:r>
      <w:r>
        <w:rPr>
          <w:rFonts w:asciiTheme="majorBidi" w:hAnsiTheme="majorBidi" w:cstheme="majorBidi"/>
          <w:sz w:val="28"/>
          <w:szCs w:val="28"/>
          <w:lang w:val="en-US" w:bidi="ar-DZ"/>
        </w:rPr>
        <w:t xml:space="preserve"> financial globalization, the internationalization</w:t>
      </w:r>
      <w:r w:rsidR="00E83216">
        <w:rPr>
          <w:rFonts w:asciiTheme="majorBidi" w:hAnsiTheme="majorBidi" w:cstheme="majorBidi" w:hint="cs"/>
          <w:sz w:val="28"/>
          <w:szCs w:val="28"/>
          <w:rtl/>
          <w:lang w:val="en-US" w:bidi="ar-DZ"/>
        </w:rPr>
        <w:t xml:space="preserve"> </w:t>
      </w:r>
      <w:r w:rsidR="00E83216" w:rsidRPr="00E83216">
        <w:rPr>
          <w:rFonts w:asciiTheme="majorBidi" w:hAnsiTheme="majorBidi" w:cstheme="majorBidi"/>
          <w:sz w:val="28"/>
          <w:szCs w:val="28"/>
          <w:lang w:val="en-US" w:bidi="ar-DZ"/>
        </w:rPr>
        <w:t>of</w:t>
      </w:r>
      <w:r>
        <w:rPr>
          <w:rFonts w:asciiTheme="majorBidi" w:hAnsiTheme="majorBidi" w:cstheme="majorBidi"/>
          <w:sz w:val="28"/>
          <w:szCs w:val="28"/>
          <w:lang w:val="en-US" w:bidi="ar-DZ"/>
        </w:rPr>
        <w:t xml:space="preserve"> financial risk, </w:t>
      </w:r>
      <w:r w:rsidR="00155E98">
        <w:rPr>
          <w:rFonts w:asciiTheme="majorBidi" w:hAnsiTheme="majorBidi" w:cstheme="majorBidi"/>
          <w:sz w:val="28"/>
          <w:szCs w:val="28"/>
          <w:lang w:val="en-US" w:bidi="ar-DZ"/>
        </w:rPr>
        <w:t>c</w:t>
      </w:r>
      <w:r w:rsidR="00155E98">
        <w:rPr>
          <w:rFonts w:asciiTheme="majorBidi" w:hAnsiTheme="majorBidi" w:cstheme="majorBidi"/>
          <w:sz w:val="28"/>
          <w:szCs w:val="28"/>
          <w:lang w:val="en-US" w:bidi="ar-DZ"/>
        </w:rPr>
        <w:t xml:space="preserve">ommercial and financial </w:t>
      </w:r>
      <w:proofErr w:type="gramStart"/>
      <w:r w:rsidR="00155E98">
        <w:rPr>
          <w:rFonts w:asciiTheme="majorBidi" w:hAnsiTheme="majorBidi" w:cstheme="majorBidi"/>
          <w:sz w:val="28"/>
          <w:szCs w:val="28"/>
          <w:lang w:val="en-US" w:bidi="ar-DZ"/>
        </w:rPr>
        <w:t>opennes</w:t>
      </w:r>
      <w:bookmarkStart w:id="0" w:name="_GoBack"/>
      <w:bookmarkEnd w:id="0"/>
      <w:r w:rsidR="00155E98">
        <w:rPr>
          <w:rFonts w:asciiTheme="majorBidi" w:hAnsiTheme="majorBidi" w:cstheme="majorBidi"/>
          <w:sz w:val="28"/>
          <w:szCs w:val="28"/>
          <w:lang w:val="en-US" w:bidi="ar-DZ"/>
        </w:rPr>
        <w:t>.</w:t>
      </w:r>
      <w:r>
        <w:rPr>
          <w:rFonts w:asciiTheme="majorBidi" w:hAnsiTheme="majorBidi" w:cstheme="majorBidi"/>
          <w:sz w:val="28"/>
          <w:szCs w:val="28"/>
          <w:lang w:val="en-US" w:bidi="ar-DZ"/>
        </w:rPr>
        <w:t>,</w:t>
      </w:r>
      <w:proofErr w:type="gramEnd"/>
      <w:r>
        <w:rPr>
          <w:rFonts w:asciiTheme="majorBidi" w:hAnsiTheme="majorBidi" w:cstheme="majorBidi"/>
          <w:sz w:val="28"/>
          <w:szCs w:val="28"/>
          <w:lang w:val="en-US" w:bidi="ar-DZ"/>
        </w:rPr>
        <w:t xml:space="preserve"> financial crisis.</w:t>
      </w:r>
    </w:p>
    <w:p w:rsidR="00DE7631" w:rsidRPr="00803877" w:rsidRDefault="00DE7631" w:rsidP="00BD3380">
      <w:pPr>
        <w:bidi/>
        <w:spacing w:line="240" w:lineRule="auto"/>
        <w:rPr>
          <w:lang w:val="en-US" w:bidi="ar-DZ"/>
        </w:rPr>
      </w:pPr>
    </w:p>
    <w:sectPr w:rsidR="00DE7631" w:rsidRPr="008038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877"/>
    <w:rsid w:val="00155E98"/>
    <w:rsid w:val="004C1295"/>
    <w:rsid w:val="00803877"/>
    <w:rsid w:val="00BD3380"/>
    <w:rsid w:val="00DE7631"/>
    <w:rsid w:val="00E83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38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38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232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basheer</Company>
  <LinksUpToDate>false</LinksUpToDate>
  <CharactersWithSpaces>1507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hafsi</dc:creator>
  <cp:lastModifiedBy>hafsi</cp:lastModifiedBy>
  <cp:revision>4</cp:revision>
  <dcterms:created xsi:type="dcterms:W3CDTF">2019-10-07T05:08:00Z</dcterms:created>
  <dcterms:modified xsi:type="dcterms:W3CDTF">2019-10-07T05:30:00Z</dcterms:modified>
</cp:coreProperties>
</file>