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6E1B" w:rsidRDefault="00EE6E1B" w:rsidP="00EE6E1B">
      <w:pPr>
        <w:autoSpaceDE w:val="0"/>
        <w:autoSpaceDN w:val="0"/>
        <w:adjustRightInd w:val="0"/>
        <w:spacing w:after="0" w:line="360" w:lineRule="auto"/>
        <w:jc w:val="both"/>
        <w:rPr>
          <w:rFonts w:asciiTheme="majorBidi" w:hAnsiTheme="majorBidi" w:cstheme="majorBidi"/>
          <w:b/>
          <w:bCs/>
          <w:i/>
          <w:iCs/>
          <w:sz w:val="24"/>
          <w:szCs w:val="24"/>
          <w:u w:val="single"/>
        </w:rPr>
      </w:pPr>
      <w:r>
        <w:rPr>
          <w:rFonts w:asciiTheme="majorBidi" w:hAnsiTheme="majorBidi" w:cstheme="majorBidi"/>
          <w:b/>
          <w:bCs/>
          <w:i/>
          <w:iCs/>
          <w:sz w:val="24"/>
          <w:szCs w:val="24"/>
          <w:u w:val="single"/>
        </w:rPr>
        <w:t>Résumé</w:t>
      </w:r>
    </w:p>
    <w:p w:rsidR="00EE6E1B" w:rsidRDefault="00EE6E1B" w:rsidP="00EE6E1B">
      <w:pPr>
        <w:autoSpaceDE w:val="0"/>
        <w:autoSpaceDN w:val="0"/>
        <w:adjustRightInd w:val="0"/>
        <w:spacing w:after="0" w:line="360" w:lineRule="auto"/>
        <w:jc w:val="both"/>
        <w:rPr>
          <w:rFonts w:asciiTheme="majorBidi" w:hAnsiTheme="majorBidi" w:cstheme="majorBidi"/>
          <w:b/>
          <w:bCs/>
          <w:i/>
          <w:iCs/>
          <w:sz w:val="24"/>
          <w:szCs w:val="24"/>
          <w:u w:val="single"/>
        </w:rPr>
      </w:pPr>
    </w:p>
    <w:p w:rsidR="00EE6E1B" w:rsidRDefault="00EE6E1B" w:rsidP="00EE6E1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Une  étude comparative entre une huile grasse extraite à partir de l’un des sous-produits de l’industrie cafetière, à savoir le marc de café, et une autre commerciale destinée à l’alimentation des volailles est entreprise. L’objectif principal de notre étude est la valorisation de cette huile chimiquement et biologiquement et savoir la possibilité de l’inclure en tant qu’un complément alimentaire dans l’alimentation animale. </w:t>
      </w:r>
      <w:r w:rsidRPr="00A663B4">
        <w:rPr>
          <w:rFonts w:asciiTheme="majorBidi" w:hAnsiTheme="majorBidi" w:cstheme="majorBidi"/>
          <w:sz w:val="24"/>
          <w:szCs w:val="24"/>
        </w:rPr>
        <w:t>En effet,</w:t>
      </w:r>
      <w:r>
        <w:rPr>
          <w:rFonts w:asciiTheme="majorBidi" w:hAnsiTheme="majorBidi" w:cstheme="majorBidi"/>
          <w:sz w:val="24"/>
          <w:szCs w:val="24"/>
        </w:rPr>
        <w:t xml:space="preserve"> la production des huiles grasses</w:t>
      </w:r>
      <w:r w:rsidRPr="00A663B4">
        <w:rPr>
          <w:rFonts w:asciiTheme="majorBidi" w:hAnsiTheme="majorBidi" w:cstheme="majorBidi"/>
          <w:sz w:val="24"/>
          <w:szCs w:val="24"/>
        </w:rPr>
        <w:t xml:space="preserve">, </w:t>
      </w:r>
      <w:r>
        <w:rPr>
          <w:rFonts w:asciiTheme="majorBidi" w:hAnsiTheme="majorBidi" w:cstheme="majorBidi"/>
          <w:sz w:val="24"/>
          <w:szCs w:val="24"/>
        </w:rPr>
        <w:t xml:space="preserve">est une voie de valorisations possibles parmi tant </w:t>
      </w:r>
      <w:r w:rsidRPr="00A663B4">
        <w:rPr>
          <w:rFonts w:asciiTheme="majorBidi" w:hAnsiTheme="majorBidi" w:cstheme="majorBidi"/>
          <w:sz w:val="24"/>
          <w:szCs w:val="24"/>
        </w:rPr>
        <w:t>d’autres.</w:t>
      </w:r>
    </w:p>
    <w:p w:rsidR="00EE6E1B" w:rsidRDefault="00EE6E1B" w:rsidP="00EE6E1B">
      <w:pPr>
        <w:autoSpaceDE w:val="0"/>
        <w:autoSpaceDN w:val="0"/>
        <w:adjustRightInd w:val="0"/>
        <w:spacing w:after="0" w:line="360" w:lineRule="auto"/>
        <w:jc w:val="both"/>
        <w:rPr>
          <w:rFonts w:asciiTheme="majorBidi" w:hAnsiTheme="majorBidi" w:cstheme="majorBidi"/>
          <w:sz w:val="24"/>
          <w:szCs w:val="24"/>
        </w:rPr>
      </w:pPr>
    </w:p>
    <w:p w:rsidR="00EE6E1B" w:rsidRDefault="00EE6E1B" w:rsidP="00EE6E1B">
      <w:pPr>
        <w:autoSpaceDE w:val="0"/>
        <w:autoSpaceDN w:val="0"/>
        <w:adjustRightInd w:val="0"/>
        <w:spacing w:after="0" w:line="360" w:lineRule="auto"/>
        <w:jc w:val="both"/>
        <w:rPr>
          <w:rFonts w:ascii="Times New Roman" w:hAnsi="Times New Roman" w:cs="Times New Roman"/>
          <w:sz w:val="24"/>
          <w:szCs w:val="24"/>
          <w:rtl/>
        </w:rPr>
      </w:pPr>
      <w:r>
        <w:rPr>
          <w:rFonts w:asciiTheme="majorBidi" w:hAnsiTheme="majorBidi" w:cstheme="majorBidi"/>
          <w:sz w:val="24"/>
          <w:szCs w:val="24"/>
        </w:rPr>
        <w:t xml:space="preserve">    L’analyse chimique du marc de café révèle sa richesse en lipides. L</w:t>
      </w:r>
      <w:r>
        <w:rPr>
          <w:rFonts w:ascii="Times New Roman" w:hAnsi="Times New Roman" w:cs="Times New Roman"/>
          <w:sz w:val="24"/>
          <w:szCs w:val="24"/>
        </w:rPr>
        <w:t xml:space="preserve">’évaluation de l’activité </w:t>
      </w:r>
      <w:proofErr w:type="spellStart"/>
      <w:r>
        <w:rPr>
          <w:rFonts w:ascii="Times New Roman" w:hAnsi="Times New Roman" w:cs="Times New Roman"/>
          <w:sz w:val="24"/>
          <w:szCs w:val="24"/>
        </w:rPr>
        <w:t>antioxydante</w:t>
      </w:r>
      <w:proofErr w:type="spellEnd"/>
      <w:r>
        <w:rPr>
          <w:rFonts w:ascii="Times New Roman" w:hAnsi="Times New Roman" w:cs="Times New Roman"/>
          <w:sz w:val="24"/>
          <w:szCs w:val="24"/>
        </w:rPr>
        <w:t xml:space="preserve"> à travers quatre tests différents (DPPH, ABTS, CUPRAC et FRAP) montre que les deux huiles ont une activité </w:t>
      </w:r>
      <w:r w:rsidRPr="00506A1D">
        <w:rPr>
          <w:rFonts w:ascii="Times New Roman" w:hAnsi="Times New Roman" w:cs="Times New Roman"/>
          <w:sz w:val="24"/>
          <w:szCs w:val="24"/>
        </w:rPr>
        <w:t>tantôt absente tantôt très faible comparativement aux standards.</w:t>
      </w:r>
      <w:r>
        <w:rPr>
          <w:rFonts w:ascii="Times New Roman" w:hAnsi="Times New Roman" w:cs="Times New Roman"/>
          <w:sz w:val="24"/>
          <w:szCs w:val="24"/>
        </w:rPr>
        <w:t xml:space="preserve"> Ces mêmes échantillons ont montré</w:t>
      </w:r>
      <w:r w:rsidRPr="00506A1D">
        <w:rPr>
          <w:rFonts w:ascii="Times New Roman" w:hAnsi="Times New Roman" w:cs="Times New Roman"/>
          <w:sz w:val="24"/>
          <w:szCs w:val="24"/>
        </w:rPr>
        <w:t xml:space="preserve"> une</w:t>
      </w:r>
      <w:r>
        <w:rPr>
          <w:rFonts w:ascii="Times New Roman" w:hAnsi="Times New Roman" w:cs="Times New Roman"/>
          <w:sz w:val="24"/>
          <w:szCs w:val="24"/>
        </w:rPr>
        <w:t xml:space="preserve"> activité inhibitrice vis-à-vis </w:t>
      </w:r>
      <w:r w:rsidRPr="00506A1D">
        <w:rPr>
          <w:rFonts w:ascii="Times New Roman" w:hAnsi="Times New Roman" w:cs="Times New Roman"/>
          <w:sz w:val="24"/>
          <w:szCs w:val="24"/>
        </w:rPr>
        <w:t>le cholinestér</w:t>
      </w:r>
      <w:r>
        <w:rPr>
          <w:rFonts w:ascii="Times New Roman" w:hAnsi="Times New Roman" w:cs="Times New Roman"/>
          <w:sz w:val="24"/>
          <w:szCs w:val="24"/>
        </w:rPr>
        <w:t xml:space="preserve">ase et le </w:t>
      </w:r>
      <w:proofErr w:type="spellStart"/>
      <w:r>
        <w:rPr>
          <w:rFonts w:ascii="Times New Roman" w:hAnsi="Times New Roman" w:cs="Times New Roman"/>
          <w:sz w:val="24"/>
          <w:szCs w:val="24"/>
        </w:rPr>
        <w:t>butyrylésterase</w:t>
      </w:r>
      <w:proofErr w:type="spellEnd"/>
      <w:r>
        <w:rPr>
          <w:rFonts w:ascii="Times New Roman" w:hAnsi="Times New Roman" w:cs="Times New Roman"/>
          <w:sz w:val="24"/>
          <w:szCs w:val="24"/>
        </w:rPr>
        <w:t xml:space="preserve">, ainsi une activité antidiabétique considérable à l’encontre de l’l’alpha-amylase. Un potentiel antifongique pratiquement absent est ainsi enregistré pour les deux échantillons. </w:t>
      </w:r>
    </w:p>
    <w:p w:rsidR="00EE6E1B" w:rsidRPr="00A4576D" w:rsidRDefault="00EE6E1B" w:rsidP="00EE6E1B">
      <w:pPr>
        <w:tabs>
          <w:tab w:val="left" w:pos="1403"/>
        </w:tabs>
        <w:bidi/>
        <w:spacing w:line="360" w:lineRule="auto"/>
        <w:jc w:val="both"/>
        <w:rPr>
          <w:rFonts w:asciiTheme="majorBidi" w:hAnsiTheme="majorBidi" w:cstheme="majorBidi"/>
          <w:sz w:val="24"/>
          <w:szCs w:val="24"/>
          <w:lang w:bidi="ar-DZ"/>
        </w:rPr>
      </w:pPr>
      <w:r>
        <w:rPr>
          <w:rFonts w:asciiTheme="majorBidi" w:hAnsiTheme="majorBidi" w:cstheme="majorBidi" w:hint="cs"/>
          <w:sz w:val="24"/>
          <w:szCs w:val="24"/>
          <w:rtl/>
        </w:rPr>
        <w:t>.</w:t>
      </w:r>
    </w:p>
    <w:p w:rsidR="00EE6E1B" w:rsidRDefault="00EE6E1B" w:rsidP="00EE6E1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Les deux huiles semblent avoir un comportement biologique pratiquement similaire, cependant, l’inclusion de telle huile grasse dans l’alimentation animale nécessite d’autres tests </w:t>
      </w:r>
      <w:r w:rsidRPr="008A7161">
        <w:rPr>
          <w:rFonts w:ascii="Times New Roman" w:hAnsi="Times New Roman" w:cs="Times New Roman"/>
          <w:i/>
          <w:iCs/>
          <w:sz w:val="24"/>
          <w:szCs w:val="24"/>
        </w:rPr>
        <w:t>in vitro</w:t>
      </w:r>
      <w:r>
        <w:rPr>
          <w:rFonts w:ascii="Times New Roman" w:hAnsi="Times New Roman" w:cs="Times New Roman"/>
          <w:sz w:val="24"/>
          <w:szCs w:val="24"/>
        </w:rPr>
        <w:t xml:space="preserve"> et </w:t>
      </w:r>
      <w:r w:rsidRPr="008A7161">
        <w:rPr>
          <w:rFonts w:ascii="Times New Roman" w:hAnsi="Times New Roman" w:cs="Times New Roman"/>
          <w:i/>
          <w:iCs/>
          <w:sz w:val="24"/>
          <w:szCs w:val="24"/>
        </w:rPr>
        <w:t>in vivo</w:t>
      </w:r>
      <w:r>
        <w:rPr>
          <w:rFonts w:ascii="Times New Roman" w:hAnsi="Times New Roman" w:cs="Times New Roman"/>
          <w:sz w:val="24"/>
          <w:szCs w:val="24"/>
        </w:rPr>
        <w:t xml:space="preserve">. </w:t>
      </w:r>
    </w:p>
    <w:p w:rsidR="00EE6E1B" w:rsidRPr="00587BAC" w:rsidRDefault="00EE6E1B" w:rsidP="00EE6E1B">
      <w:pPr>
        <w:autoSpaceDE w:val="0"/>
        <w:autoSpaceDN w:val="0"/>
        <w:adjustRightInd w:val="0"/>
        <w:spacing w:after="0" w:line="360" w:lineRule="auto"/>
        <w:jc w:val="both"/>
        <w:rPr>
          <w:rFonts w:ascii="Times New Roman" w:hAnsi="Times New Roman" w:cs="Times New Roman"/>
          <w:sz w:val="24"/>
          <w:szCs w:val="24"/>
        </w:rPr>
      </w:pPr>
    </w:p>
    <w:p w:rsidR="00EE6E1B" w:rsidRDefault="00EE6E1B" w:rsidP="00EE6E1B">
      <w:pPr>
        <w:autoSpaceDE w:val="0"/>
        <w:autoSpaceDN w:val="0"/>
        <w:adjustRightInd w:val="0"/>
        <w:spacing w:after="0" w:line="360" w:lineRule="auto"/>
        <w:jc w:val="both"/>
        <w:rPr>
          <w:rFonts w:asciiTheme="majorBidi" w:hAnsiTheme="majorBidi" w:cstheme="majorBidi"/>
          <w:sz w:val="32"/>
          <w:szCs w:val="32"/>
          <w:u w:val="single"/>
        </w:rPr>
      </w:pPr>
      <w:r>
        <w:rPr>
          <w:rFonts w:ascii="Times New Roman" w:hAnsi="Times New Roman" w:cs="Times New Roman"/>
          <w:b/>
          <w:bCs/>
          <w:sz w:val="24"/>
          <w:szCs w:val="24"/>
        </w:rPr>
        <w:t>Mots clés</w:t>
      </w:r>
      <w:r>
        <w:rPr>
          <w:rFonts w:ascii="Times New Roman" w:hAnsi="Times New Roman" w:cs="Times New Roman"/>
          <w:sz w:val="24"/>
          <w:szCs w:val="24"/>
        </w:rPr>
        <w:t>: valorisation, marc de café,  huile grasse, activités biologiques</w:t>
      </w:r>
      <w:r>
        <w:rPr>
          <w:rFonts w:ascii="Times New Roman" w:hAnsi="Times New Roman" w:cs="Times New Roman" w:hint="cs"/>
          <w:sz w:val="24"/>
          <w:szCs w:val="24"/>
          <w:rtl/>
        </w:rPr>
        <w:t>,</w:t>
      </w:r>
      <w:r>
        <w:rPr>
          <w:rFonts w:ascii="Times New Roman" w:hAnsi="Times New Roman" w:cs="Times New Roman"/>
          <w:sz w:val="24"/>
          <w:szCs w:val="24"/>
        </w:rPr>
        <w:t xml:space="preserve"> comparaison. </w:t>
      </w:r>
    </w:p>
    <w:p w:rsidR="00EE6E1B" w:rsidRPr="00AE44C0" w:rsidRDefault="00EE6E1B" w:rsidP="00EE6E1B">
      <w:pPr>
        <w:rPr>
          <w:rFonts w:asciiTheme="majorBidi" w:hAnsiTheme="majorBidi" w:cstheme="majorBidi"/>
          <w:sz w:val="32"/>
          <w:szCs w:val="32"/>
        </w:rPr>
      </w:pPr>
    </w:p>
    <w:p w:rsidR="00EE6E1B" w:rsidRPr="00AE44C0" w:rsidRDefault="00EE6E1B" w:rsidP="00EE6E1B">
      <w:pPr>
        <w:rPr>
          <w:rFonts w:asciiTheme="majorBidi" w:hAnsiTheme="majorBidi" w:cstheme="majorBidi"/>
          <w:sz w:val="32"/>
          <w:szCs w:val="32"/>
        </w:rPr>
      </w:pPr>
    </w:p>
    <w:p w:rsidR="00EE6E1B" w:rsidRPr="00AE44C0" w:rsidRDefault="00EE6E1B" w:rsidP="00EE6E1B">
      <w:pPr>
        <w:rPr>
          <w:rFonts w:asciiTheme="majorBidi" w:hAnsiTheme="majorBidi" w:cstheme="majorBidi"/>
          <w:sz w:val="32"/>
          <w:szCs w:val="32"/>
        </w:rPr>
      </w:pPr>
    </w:p>
    <w:p w:rsidR="00EF1ED0" w:rsidRDefault="00EF1ED0">
      <w:bookmarkStart w:id="0" w:name="_GoBack"/>
      <w:bookmarkEnd w:id="0"/>
    </w:p>
    <w:sectPr w:rsidR="00EF1ED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6E1B"/>
    <w:rsid w:val="00EE6E1B"/>
    <w:rsid w:val="00EF1ED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6E1B"/>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6E1B"/>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218</Words>
  <Characters>1203</Characters>
  <Application>Microsoft Office Word</Application>
  <DocSecurity>0</DocSecurity>
  <Lines>10</Lines>
  <Paragraphs>2</Paragraphs>
  <ScaleCrop>false</ScaleCrop>
  <Company/>
  <LinksUpToDate>false</LinksUpToDate>
  <CharactersWithSpaces>1419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2013-02-19T22:06:00Z</dcterms:created>
  <dcterms:modified xsi:type="dcterms:W3CDTF">2013-02-19T22:07:00Z</dcterms:modified>
</cp:coreProperties>
</file>