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B37" w:rsidRDefault="00D97B37" w:rsidP="00D97B37">
      <w:pPr>
        <w:pStyle w:val="Titre1"/>
        <w:ind w:left="416" w:right="0"/>
        <w:jc w:val="left"/>
      </w:pPr>
      <w:r>
        <w:t>RESUME</w:t>
      </w:r>
    </w:p>
    <w:p w:rsidR="00D97B37" w:rsidRDefault="00D97B37" w:rsidP="00D97B37">
      <w:pPr>
        <w:pStyle w:val="Corpsdetexte"/>
        <w:spacing w:before="3"/>
        <w:rPr>
          <w:b/>
          <w:sz w:val="31"/>
        </w:rPr>
      </w:pPr>
    </w:p>
    <w:p w:rsidR="00D97B37" w:rsidRDefault="00D97B37" w:rsidP="00D97B37">
      <w:pPr>
        <w:pStyle w:val="Corpsdetexte"/>
        <w:spacing w:line="360" w:lineRule="auto"/>
        <w:ind w:left="416" w:right="835"/>
        <w:jc w:val="both"/>
      </w:pPr>
      <w:r>
        <w:t xml:space="preserve">Dans le présent travail, nous avons synthétisé une nouvelle série de ligands triazacyclohexanes symétriques et asymétriques par une réaction de condensation des alkylamines et/ou arylamines avec la formaline dans des conditions bien déterminées. Ces ligands ont été caractérisés par les méthodes spectroscopiques et structurales. Les études structurales montrent que les triazacyclohexanes asymétriques adoptent une conformation chaise avec une orientation </w:t>
      </w:r>
      <w:proofErr w:type="spellStart"/>
      <w:r>
        <w:t>di-axiale</w:t>
      </w:r>
      <w:proofErr w:type="spellEnd"/>
      <w:r>
        <w:t xml:space="preserve"> des deux groupements aryle et équatoriale du groupent alkyle (</w:t>
      </w:r>
      <w:proofErr w:type="spellStart"/>
      <w:r>
        <w:t>aae</w:t>
      </w:r>
      <w:proofErr w:type="spellEnd"/>
      <w:r>
        <w:t>). Ensuite, des complexes de cuivre(II) et de fer (III) avec les ligands alkyles R</w:t>
      </w:r>
      <w:r>
        <w:rPr>
          <w:vertAlign w:val="subscript"/>
        </w:rPr>
        <w:t>3</w:t>
      </w:r>
      <w:r>
        <w:t>TAC ont été synthétisés et caractérisés par spectrométrie FT/IR, UV-Visible et spectrométrie de masse</w:t>
      </w:r>
      <w:r>
        <w:rPr>
          <w:spacing w:val="-1"/>
        </w:rPr>
        <w:t xml:space="preserve"> </w:t>
      </w:r>
      <w:r>
        <w:t>MS/ESI.</w:t>
      </w:r>
    </w:p>
    <w:p w:rsidR="00D97B37" w:rsidRDefault="00D97B37" w:rsidP="00D97B37">
      <w:pPr>
        <w:pStyle w:val="Corpsdetexte"/>
        <w:spacing w:before="201" w:line="360" w:lineRule="auto"/>
        <w:ind w:left="416" w:right="831"/>
        <w:jc w:val="both"/>
      </w:pPr>
      <w:r>
        <w:t xml:space="preserve">Nous avons aussi effectué une étude de l’activité antibactérienne du ligand </w:t>
      </w:r>
      <w:r>
        <w:rPr>
          <w:b/>
        </w:rPr>
        <w:t xml:space="preserve">(73) </w:t>
      </w:r>
      <w:r>
        <w:rPr>
          <w:i/>
        </w:rPr>
        <w:t>(in-vitro</w:t>
      </w:r>
      <w:r>
        <w:t>) ; sur des souches pathogènes appartenant à des espèces différentes de bactéries (</w:t>
      </w:r>
      <w:r>
        <w:rPr>
          <w:i/>
        </w:rPr>
        <w:t>E. coli</w:t>
      </w:r>
      <w:r>
        <w:t xml:space="preserve">, </w:t>
      </w:r>
      <w:r>
        <w:rPr>
          <w:i/>
        </w:rPr>
        <w:t>S. aureu</w:t>
      </w:r>
      <w:r>
        <w:t xml:space="preserve">s, </w:t>
      </w:r>
      <w:proofErr w:type="spellStart"/>
      <w:r>
        <w:rPr>
          <w:i/>
        </w:rPr>
        <w:t>P.aeruginosa</w:t>
      </w:r>
      <w:proofErr w:type="spellEnd"/>
      <w:r>
        <w:t>).</w:t>
      </w:r>
    </w:p>
    <w:p w:rsidR="00D97B37" w:rsidRDefault="00D97B37" w:rsidP="00D97B37">
      <w:pPr>
        <w:pStyle w:val="Corpsdetexte"/>
        <w:spacing w:before="198" w:line="360" w:lineRule="auto"/>
        <w:ind w:left="416" w:right="836"/>
        <w:jc w:val="both"/>
      </w:pPr>
      <w:r>
        <w:t>Des calculs d’optimisation de géométrie ont été effectués pour le ligand Triazacyclohexane ainsi que pour des complexes de coordination et ils ont montré que le triazacyclohexane est stable pour une structure de conformation (</w:t>
      </w:r>
      <w:proofErr w:type="spellStart"/>
      <w:r>
        <w:t>eaa</w:t>
      </w:r>
      <w:proofErr w:type="spellEnd"/>
      <w:r>
        <w:t>), ces résultats sont en accord avec les résultats trouvés expérimentalement et que les complexes adoptent différents modes de coordination.</w:t>
      </w:r>
    </w:p>
    <w:p w:rsidR="00D97B37" w:rsidRDefault="00D97B37" w:rsidP="00D97B37">
      <w:pPr>
        <w:pStyle w:val="Titre3"/>
        <w:spacing w:before="121"/>
        <w:jc w:val="both"/>
        <w:rPr>
          <w:b w:val="0"/>
        </w:rPr>
      </w:pPr>
      <w:r>
        <w:t xml:space="preserve">Mots Clés </w:t>
      </w:r>
      <w:r>
        <w:rPr>
          <w:b w:val="0"/>
        </w:rPr>
        <w:t>:</w:t>
      </w:r>
    </w:p>
    <w:p w:rsidR="00D97B37" w:rsidRDefault="00D97B37" w:rsidP="00D97B37">
      <w:pPr>
        <w:pStyle w:val="Corpsdetexte"/>
        <w:spacing w:before="6"/>
        <w:rPr>
          <w:sz w:val="22"/>
        </w:rPr>
      </w:pPr>
    </w:p>
    <w:p w:rsidR="00D97B37" w:rsidRDefault="00D97B37" w:rsidP="00D97B37">
      <w:pPr>
        <w:pStyle w:val="Corpsdetexte"/>
        <w:spacing w:line="360" w:lineRule="auto"/>
        <w:ind w:left="416" w:right="833"/>
        <w:jc w:val="both"/>
      </w:pPr>
      <w:r>
        <w:t>Triazacyclohexane ; Métaux de transition ; Complexe ; Coordination ; Synthèse ; étude théorique</w:t>
      </w:r>
    </w:p>
    <w:p w:rsidR="00D97B37" w:rsidRDefault="00D97B37" w:rsidP="00D97B37">
      <w:pPr>
        <w:pStyle w:val="Titre3"/>
        <w:spacing w:before="125"/>
      </w:pPr>
      <w:bookmarkStart w:id="0" w:name="_TOC_250000"/>
      <w:bookmarkEnd w:id="0"/>
      <w:r>
        <w:t>ABSTRACT</w:t>
      </w:r>
    </w:p>
    <w:p w:rsidR="00D97B37" w:rsidRDefault="00D97B37" w:rsidP="00D97B37">
      <w:pPr>
        <w:pStyle w:val="Corpsdetexte"/>
        <w:rPr>
          <w:b/>
          <w:sz w:val="29"/>
        </w:rPr>
      </w:pPr>
    </w:p>
    <w:p w:rsidR="00D97B37" w:rsidRDefault="00D97B37" w:rsidP="00D97B37">
      <w:pPr>
        <w:pStyle w:val="Corpsdetexte"/>
        <w:spacing w:line="360" w:lineRule="auto"/>
        <w:ind w:left="416" w:right="835"/>
        <w:jc w:val="both"/>
      </w:pPr>
      <w:r>
        <w:t xml:space="preserve">In the </w:t>
      </w:r>
      <w:proofErr w:type="spellStart"/>
      <w:r>
        <w:t>present</w:t>
      </w:r>
      <w:proofErr w:type="spellEnd"/>
      <w:r>
        <w:t xml:space="preserve"> </w:t>
      </w:r>
      <w:proofErr w:type="spellStart"/>
      <w:r>
        <w:t>work</w:t>
      </w:r>
      <w:proofErr w:type="spellEnd"/>
      <w:r>
        <w:t xml:space="preserve">, </w:t>
      </w:r>
      <w:proofErr w:type="spellStart"/>
      <w:r>
        <w:t>we</w:t>
      </w:r>
      <w:proofErr w:type="spellEnd"/>
      <w:r>
        <w:t xml:space="preserve"> have </w:t>
      </w:r>
      <w:proofErr w:type="spellStart"/>
      <w:r>
        <w:t>synthesized</w:t>
      </w:r>
      <w:proofErr w:type="spellEnd"/>
      <w:r>
        <w:t xml:space="preserve"> a new </w:t>
      </w:r>
      <w:proofErr w:type="spellStart"/>
      <w:r>
        <w:t>series</w:t>
      </w:r>
      <w:proofErr w:type="spellEnd"/>
      <w:r>
        <w:t xml:space="preserve"> of </w:t>
      </w:r>
      <w:proofErr w:type="spellStart"/>
      <w:r>
        <w:t>symmetrical</w:t>
      </w:r>
      <w:proofErr w:type="spellEnd"/>
      <w:r>
        <w:t xml:space="preserve"> and </w:t>
      </w:r>
      <w:proofErr w:type="spellStart"/>
      <w:r>
        <w:t>asymmetric</w:t>
      </w:r>
      <w:proofErr w:type="spellEnd"/>
      <w:r>
        <w:t xml:space="preserve"> triazacyclohexane ligands by </w:t>
      </w:r>
      <w:proofErr w:type="spellStart"/>
      <w:r>
        <w:t>a</w:t>
      </w:r>
      <w:proofErr w:type="spellEnd"/>
      <w:r>
        <w:t xml:space="preserve"> condensation </w:t>
      </w:r>
      <w:proofErr w:type="spellStart"/>
      <w:r>
        <w:t>reaction</w:t>
      </w:r>
      <w:proofErr w:type="spellEnd"/>
      <w:r>
        <w:t xml:space="preserve"> of alkylamines and / or arylamines </w:t>
      </w:r>
      <w:proofErr w:type="spellStart"/>
      <w:r>
        <w:t>with</w:t>
      </w:r>
      <w:proofErr w:type="spellEnd"/>
      <w:r>
        <w:t xml:space="preserve"> </w:t>
      </w:r>
      <w:proofErr w:type="spellStart"/>
      <w:r>
        <w:t>formalin</w:t>
      </w:r>
      <w:proofErr w:type="spellEnd"/>
      <w:r>
        <w:t xml:space="preserve"> </w:t>
      </w:r>
      <w:proofErr w:type="spellStart"/>
      <w:r>
        <w:t>under</w:t>
      </w:r>
      <w:proofErr w:type="spellEnd"/>
      <w:r>
        <w:t xml:space="preserve"> </w:t>
      </w:r>
      <w:proofErr w:type="spellStart"/>
      <w:r>
        <w:t>well-defined</w:t>
      </w:r>
      <w:proofErr w:type="spellEnd"/>
      <w:r>
        <w:t xml:space="preserve"> conditions. </w:t>
      </w:r>
      <w:proofErr w:type="spellStart"/>
      <w:r>
        <w:t>These</w:t>
      </w:r>
      <w:proofErr w:type="spellEnd"/>
      <w:r>
        <w:t xml:space="preserve"> ligands </w:t>
      </w:r>
      <w:proofErr w:type="spellStart"/>
      <w:r>
        <w:t>were</w:t>
      </w:r>
      <w:proofErr w:type="spellEnd"/>
      <w:r>
        <w:t xml:space="preserve"> </w:t>
      </w:r>
      <w:proofErr w:type="spellStart"/>
      <w:r>
        <w:t>characterized</w:t>
      </w:r>
      <w:proofErr w:type="spellEnd"/>
      <w:r>
        <w:t xml:space="preserve"> by </w:t>
      </w:r>
      <w:proofErr w:type="spellStart"/>
      <w:r>
        <w:t>spectroscopic</w:t>
      </w:r>
      <w:proofErr w:type="spellEnd"/>
      <w:r>
        <w:t xml:space="preserve"> and structural </w:t>
      </w:r>
      <w:proofErr w:type="spellStart"/>
      <w:r>
        <w:t>methods</w:t>
      </w:r>
      <w:proofErr w:type="spellEnd"/>
      <w:r>
        <w:t xml:space="preserve">. Structural </w:t>
      </w:r>
      <w:proofErr w:type="spellStart"/>
      <w:r>
        <w:t>studies</w:t>
      </w:r>
      <w:proofErr w:type="spellEnd"/>
      <w:r>
        <w:t xml:space="preserve"> show </w:t>
      </w:r>
      <w:proofErr w:type="spellStart"/>
      <w:r>
        <w:t>that</w:t>
      </w:r>
      <w:proofErr w:type="spellEnd"/>
      <w:r>
        <w:t xml:space="preserve"> the </w:t>
      </w:r>
      <w:proofErr w:type="spellStart"/>
      <w:r>
        <w:t>asymmetric</w:t>
      </w:r>
      <w:proofErr w:type="spellEnd"/>
      <w:r>
        <w:t xml:space="preserve"> triazacyclohexanes </w:t>
      </w:r>
      <w:proofErr w:type="spellStart"/>
      <w:r>
        <w:t>adopt</w:t>
      </w:r>
      <w:proofErr w:type="spellEnd"/>
      <w:r>
        <w:t xml:space="preserve"> </w:t>
      </w:r>
      <w:proofErr w:type="gramStart"/>
      <w:r>
        <w:t>a</w:t>
      </w:r>
      <w:proofErr w:type="gramEnd"/>
      <w:r>
        <w:t xml:space="preserve"> chair conformation </w:t>
      </w:r>
      <w:proofErr w:type="spellStart"/>
      <w:r>
        <w:t>with</w:t>
      </w:r>
      <w:proofErr w:type="spellEnd"/>
      <w:r>
        <w:t xml:space="preserve"> a di-axial orientation of the </w:t>
      </w:r>
      <w:proofErr w:type="spellStart"/>
      <w:r>
        <w:t>two</w:t>
      </w:r>
      <w:proofErr w:type="spellEnd"/>
      <w:r>
        <w:t xml:space="preserve"> </w:t>
      </w:r>
      <w:proofErr w:type="spellStart"/>
      <w:r>
        <w:t>aryl</w:t>
      </w:r>
      <w:proofErr w:type="spellEnd"/>
      <w:r>
        <w:t xml:space="preserve"> groups and </w:t>
      </w:r>
      <w:proofErr w:type="spellStart"/>
      <w:r>
        <w:t>equatorial</w:t>
      </w:r>
      <w:proofErr w:type="spellEnd"/>
      <w:r>
        <w:t xml:space="preserve"> of the alkyl group (</w:t>
      </w:r>
      <w:proofErr w:type="spellStart"/>
      <w:r>
        <w:t>aae</w:t>
      </w:r>
      <w:proofErr w:type="spellEnd"/>
      <w:r>
        <w:t xml:space="preserve">). </w:t>
      </w:r>
      <w:proofErr w:type="spellStart"/>
      <w:r>
        <w:t>Then</w:t>
      </w:r>
      <w:proofErr w:type="spellEnd"/>
      <w:r>
        <w:t xml:space="preserve">, </w:t>
      </w:r>
      <w:proofErr w:type="spellStart"/>
      <w:r>
        <w:t>copper</w:t>
      </w:r>
      <w:proofErr w:type="spellEnd"/>
      <w:r>
        <w:t xml:space="preserve"> (II) and </w:t>
      </w:r>
      <w:proofErr w:type="spellStart"/>
      <w:r>
        <w:t>iron</w:t>
      </w:r>
      <w:proofErr w:type="spellEnd"/>
      <w:r>
        <w:t xml:space="preserve"> (III) complexes </w:t>
      </w:r>
      <w:proofErr w:type="spellStart"/>
      <w:r>
        <w:t>with</w:t>
      </w:r>
      <w:proofErr w:type="spellEnd"/>
      <w:r>
        <w:t xml:space="preserve"> the R</w:t>
      </w:r>
      <w:r>
        <w:rPr>
          <w:vertAlign w:val="subscript"/>
        </w:rPr>
        <w:t>3</w:t>
      </w:r>
      <w:r>
        <w:t xml:space="preserve">TAC alkyl ligands </w:t>
      </w:r>
      <w:proofErr w:type="spellStart"/>
      <w:r>
        <w:t>were</w:t>
      </w:r>
      <w:proofErr w:type="spellEnd"/>
      <w:r>
        <w:t xml:space="preserve"> </w:t>
      </w:r>
      <w:proofErr w:type="spellStart"/>
      <w:r>
        <w:t>synthesized</w:t>
      </w:r>
      <w:proofErr w:type="spellEnd"/>
      <w:r>
        <w:t xml:space="preserve"> and </w:t>
      </w:r>
      <w:proofErr w:type="spellStart"/>
      <w:r>
        <w:t>characterized</w:t>
      </w:r>
      <w:proofErr w:type="spellEnd"/>
      <w:r>
        <w:t xml:space="preserve"> by FT / IR, UV-Visible and MS / ESI mass</w:t>
      </w:r>
      <w:r>
        <w:rPr>
          <w:spacing w:val="-16"/>
        </w:rPr>
        <w:t xml:space="preserve"> </w:t>
      </w:r>
      <w:proofErr w:type="spellStart"/>
      <w:r>
        <w:t>spectrometry</w:t>
      </w:r>
      <w:proofErr w:type="spellEnd"/>
      <w:r>
        <w:t>.</w:t>
      </w:r>
    </w:p>
    <w:p w:rsidR="00D97B37" w:rsidRDefault="00D97B37" w:rsidP="00D97B37">
      <w:pPr>
        <w:pStyle w:val="Corpsdetexte"/>
        <w:spacing w:before="199" w:line="360" w:lineRule="auto"/>
        <w:ind w:left="416" w:right="837"/>
        <w:jc w:val="both"/>
      </w:pPr>
      <w:proofErr w:type="spellStart"/>
      <w:r>
        <w:t>We</w:t>
      </w:r>
      <w:proofErr w:type="spellEnd"/>
      <w:r>
        <w:t xml:space="preserve"> </w:t>
      </w:r>
      <w:proofErr w:type="spellStart"/>
      <w:r>
        <w:t>also</w:t>
      </w:r>
      <w:proofErr w:type="spellEnd"/>
      <w:r>
        <w:t xml:space="preserve"> </w:t>
      </w:r>
      <w:proofErr w:type="spellStart"/>
      <w:r>
        <w:t>performed</w:t>
      </w:r>
      <w:proofErr w:type="spellEnd"/>
      <w:r>
        <w:t xml:space="preserve"> a </w:t>
      </w:r>
      <w:proofErr w:type="spellStart"/>
      <w:r>
        <w:t>study</w:t>
      </w:r>
      <w:proofErr w:type="spellEnd"/>
      <w:r>
        <w:t xml:space="preserve"> of the </w:t>
      </w:r>
      <w:proofErr w:type="spellStart"/>
      <w:r>
        <w:t>antibacterial</w:t>
      </w:r>
      <w:proofErr w:type="spellEnd"/>
      <w:r>
        <w:t xml:space="preserve"> </w:t>
      </w:r>
      <w:proofErr w:type="spellStart"/>
      <w:r>
        <w:t>activity</w:t>
      </w:r>
      <w:proofErr w:type="spellEnd"/>
      <w:r>
        <w:t xml:space="preserve"> of the ligand (73) (in-vitro); on </w:t>
      </w:r>
      <w:proofErr w:type="spellStart"/>
      <w:r>
        <w:t>pathogenic</w:t>
      </w:r>
      <w:proofErr w:type="spellEnd"/>
      <w:r>
        <w:t xml:space="preserve"> </w:t>
      </w:r>
      <w:proofErr w:type="spellStart"/>
      <w:r>
        <w:t>strains</w:t>
      </w:r>
      <w:proofErr w:type="spellEnd"/>
      <w:r>
        <w:t xml:space="preserve"> </w:t>
      </w:r>
      <w:proofErr w:type="spellStart"/>
      <w:r>
        <w:t>belonging</w:t>
      </w:r>
      <w:proofErr w:type="spellEnd"/>
      <w:r>
        <w:t xml:space="preserve"> to </w:t>
      </w:r>
      <w:proofErr w:type="spellStart"/>
      <w:r>
        <w:t>different</w:t>
      </w:r>
      <w:proofErr w:type="spellEnd"/>
      <w:r>
        <w:t xml:space="preserve"> </w:t>
      </w:r>
      <w:proofErr w:type="spellStart"/>
      <w:r>
        <w:t>species</w:t>
      </w:r>
      <w:proofErr w:type="spellEnd"/>
      <w:r>
        <w:t xml:space="preserve"> of </w:t>
      </w:r>
      <w:proofErr w:type="spellStart"/>
      <w:r>
        <w:t>bacteria</w:t>
      </w:r>
      <w:proofErr w:type="spellEnd"/>
      <w:r>
        <w:t xml:space="preserve"> (E. coli, S. aureus,</w:t>
      </w:r>
      <w:r>
        <w:rPr>
          <w:spacing w:val="-10"/>
        </w:rPr>
        <w:t xml:space="preserve"> </w:t>
      </w:r>
      <w:proofErr w:type="spellStart"/>
      <w:r>
        <w:t>P.aeruginosa</w:t>
      </w:r>
      <w:proofErr w:type="spellEnd"/>
      <w:r>
        <w:t>).</w:t>
      </w:r>
    </w:p>
    <w:p w:rsidR="00D97B37" w:rsidRDefault="00D97B37" w:rsidP="00D97B37">
      <w:pPr>
        <w:widowControl/>
        <w:autoSpaceDE/>
        <w:autoSpaceDN/>
        <w:spacing w:line="360" w:lineRule="auto"/>
        <w:sectPr w:rsidR="00D97B37">
          <w:pgSz w:w="11910" w:h="16840"/>
          <w:pgMar w:top="1140" w:right="580" w:bottom="1500" w:left="1000" w:header="708" w:footer="1302" w:gutter="0"/>
          <w:pgNumType w:start="234"/>
          <w:cols w:space="720"/>
        </w:sectPr>
      </w:pPr>
    </w:p>
    <w:p w:rsidR="00D97B37" w:rsidRDefault="00D97B37" w:rsidP="00D97B37">
      <w:pPr>
        <w:pStyle w:val="Corpsdetexte"/>
        <w:spacing w:before="9"/>
        <w:rPr>
          <w:sz w:val="14"/>
        </w:rPr>
      </w:pPr>
    </w:p>
    <w:p w:rsidR="00D97B37" w:rsidRDefault="00D97B37" w:rsidP="00D97B37">
      <w:pPr>
        <w:pStyle w:val="Corpsdetexte"/>
        <w:spacing w:before="90" w:line="360" w:lineRule="auto"/>
        <w:ind w:left="416" w:right="840"/>
        <w:jc w:val="both"/>
      </w:pPr>
      <w:proofErr w:type="spellStart"/>
      <w:r>
        <w:t>Geometry</w:t>
      </w:r>
      <w:proofErr w:type="spellEnd"/>
      <w:r>
        <w:t xml:space="preserve"> </w:t>
      </w:r>
      <w:proofErr w:type="spellStart"/>
      <w:r>
        <w:t>optimization</w:t>
      </w:r>
      <w:proofErr w:type="spellEnd"/>
      <w:r>
        <w:t xml:space="preserve"> </w:t>
      </w:r>
      <w:proofErr w:type="spellStart"/>
      <w:r>
        <w:t>calculations</w:t>
      </w:r>
      <w:proofErr w:type="spellEnd"/>
      <w:r>
        <w:t xml:space="preserve"> </w:t>
      </w:r>
      <w:proofErr w:type="spellStart"/>
      <w:r>
        <w:t>were</w:t>
      </w:r>
      <w:proofErr w:type="spellEnd"/>
      <w:r>
        <w:t xml:space="preserve"> </w:t>
      </w:r>
      <w:proofErr w:type="spellStart"/>
      <w:r>
        <w:t>performed</w:t>
      </w:r>
      <w:proofErr w:type="spellEnd"/>
      <w:r>
        <w:t xml:space="preserve"> for the Triazacyclohexane ligand as </w:t>
      </w:r>
      <w:proofErr w:type="spellStart"/>
      <w:r>
        <w:t>well</w:t>
      </w:r>
      <w:proofErr w:type="spellEnd"/>
      <w:r>
        <w:t xml:space="preserve"> as for coordination complexes and </w:t>
      </w:r>
      <w:proofErr w:type="spellStart"/>
      <w:r>
        <w:t>they</w:t>
      </w:r>
      <w:proofErr w:type="spellEnd"/>
      <w:r>
        <w:t xml:space="preserve"> </w:t>
      </w:r>
      <w:proofErr w:type="spellStart"/>
      <w:r>
        <w:t>showed</w:t>
      </w:r>
      <w:proofErr w:type="spellEnd"/>
      <w:r>
        <w:t xml:space="preserve"> </w:t>
      </w:r>
      <w:proofErr w:type="spellStart"/>
      <w:r>
        <w:t>that</w:t>
      </w:r>
      <w:proofErr w:type="spellEnd"/>
      <w:r>
        <w:t xml:space="preserve"> triazacyclohexane </w:t>
      </w:r>
      <w:proofErr w:type="spellStart"/>
      <w:r>
        <w:t>is</w:t>
      </w:r>
      <w:proofErr w:type="spellEnd"/>
      <w:r>
        <w:t xml:space="preserve"> stable for a </w:t>
      </w:r>
      <w:proofErr w:type="spellStart"/>
      <w:r>
        <w:t>conformational</w:t>
      </w:r>
      <w:proofErr w:type="spellEnd"/>
      <w:r>
        <w:t xml:space="preserve"> structure (</w:t>
      </w:r>
      <w:proofErr w:type="spellStart"/>
      <w:r>
        <w:t>eaa</w:t>
      </w:r>
      <w:proofErr w:type="spellEnd"/>
      <w:r>
        <w:t xml:space="preserve">), </w:t>
      </w:r>
      <w:proofErr w:type="spellStart"/>
      <w:r>
        <w:t>these</w:t>
      </w:r>
      <w:proofErr w:type="spellEnd"/>
      <w:r>
        <w:t xml:space="preserve"> </w:t>
      </w:r>
      <w:proofErr w:type="spellStart"/>
      <w:r>
        <w:t>results</w:t>
      </w:r>
      <w:proofErr w:type="spellEnd"/>
      <w:r>
        <w:t xml:space="preserve"> are in agreement </w:t>
      </w:r>
      <w:proofErr w:type="spellStart"/>
      <w:r>
        <w:t>with</w:t>
      </w:r>
      <w:proofErr w:type="spellEnd"/>
      <w:r>
        <w:t xml:space="preserve"> the </w:t>
      </w:r>
      <w:proofErr w:type="spellStart"/>
      <w:r>
        <w:t>results</w:t>
      </w:r>
      <w:proofErr w:type="spellEnd"/>
      <w:r>
        <w:t xml:space="preserve"> </w:t>
      </w:r>
      <w:proofErr w:type="spellStart"/>
      <w:r>
        <w:t>found</w:t>
      </w:r>
      <w:proofErr w:type="spellEnd"/>
      <w:r>
        <w:t xml:space="preserve"> </w:t>
      </w:r>
      <w:proofErr w:type="spellStart"/>
      <w:r>
        <w:t>experimentally</w:t>
      </w:r>
      <w:proofErr w:type="spellEnd"/>
      <w:r>
        <w:t xml:space="preserve"> and </w:t>
      </w:r>
      <w:proofErr w:type="spellStart"/>
      <w:r>
        <w:t>that</w:t>
      </w:r>
      <w:proofErr w:type="spellEnd"/>
      <w:r>
        <w:t xml:space="preserve"> the complexes </w:t>
      </w:r>
      <w:proofErr w:type="spellStart"/>
      <w:r>
        <w:t>adopt</w:t>
      </w:r>
      <w:proofErr w:type="spellEnd"/>
      <w:r>
        <w:t xml:space="preserve"> </w:t>
      </w:r>
      <w:proofErr w:type="spellStart"/>
      <w:r>
        <w:t>different</w:t>
      </w:r>
      <w:proofErr w:type="spellEnd"/>
      <w:r>
        <w:t xml:space="preserve"> modes of coordination.</w:t>
      </w:r>
    </w:p>
    <w:p w:rsidR="00D97B37" w:rsidRDefault="00D97B37" w:rsidP="00D97B37">
      <w:pPr>
        <w:pStyle w:val="Titre3"/>
        <w:spacing w:before="207"/>
        <w:jc w:val="both"/>
      </w:pPr>
      <w:r>
        <w:t>Keywords :</w:t>
      </w:r>
    </w:p>
    <w:p w:rsidR="00D97B37" w:rsidRDefault="00D97B37" w:rsidP="00D97B37">
      <w:pPr>
        <w:pStyle w:val="Corpsdetexte"/>
        <w:rPr>
          <w:b/>
          <w:sz w:val="29"/>
        </w:rPr>
      </w:pPr>
    </w:p>
    <w:p w:rsidR="00D97B37" w:rsidRDefault="00D97B37" w:rsidP="00D97B37">
      <w:pPr>
        <w:pStyle w:val="Corpsdetexte"/>
        <w:ind w:left="416"/>
        <w:jc w:val="both"/>
      </w:pPr>
      <w:r>
        <w:t xml:space="preserve">Triazacyclohexane; Transition </w:t>
      </w:r>
      <w:proofErr w:type="spellStart"/>
      <w:r>
        <w:t>metals</w:t>
      </w:r>
      <w:proofErr w:type="spellEnd"/>
      <w:r>
        <w:t xml:space="preserve">; </w:t>
      </w:r>
      <w:proofErr w:type="spellStart"/>
      <w:r>
        <w:t>Complex</w:t>
      </w:r>
      <w:proofErr w:type="spellEnd"/>
      <w:r>
        <w:t xml:space="preserve">; Coordination; </w:t>
      </w:r>
      <w:proofErr w:type="spellStart"/>
      <w:r>
        <w:t>Synthesis</w:t>
      </w:r>
      <w:proofErr w:type="spellEnd"/>
      <w:r>
        <w:t xml:space="preserve">; </w:t>
      </w:r>
      <w:proofErr w:type="spellStart"/>
      <w:r>
        <w:t>theorical</w:t>
      </w:r>
      <w:proofErr w:type="spellEnd"/>
      <w:r>
        <w:t xml:space="preserve"> </w:t>
      </w:r>
      <w:proofErr w:type="spellStart"/>
      <w:r>
        <w:t>study</w:t>
      </w:r>
      <w:proofErr w:type="spellEnd"/>
      <w:r>
        <w:t>.</w:t>
      </w:r>
    </w:p>
    <w:p w:rsidR="00095518" w:rsidRDefault="00D97B37" w:rsidP="00D97B37">
      <w:pPr>
        <w:jc w:val="right"/>
        <w:rPr>
          <w:rFonts w:hint="cs"/>
          <w:rtl/>
        </w:rPr>
      </w:pPr>
      <w:r>
        <w:rPr>
          <w:noProof/>
          <w:lang w:eastAsia="fr-FR"/>
        </w:rPr>
        <w:drawing>
          <wp:inline distT="0" distB="0" distL="0" distR="0" wp14:anchorId="48FFAECE" wp14:editId="767B1EE8">
            <wp:extent cx="5760720" cy="4448236"/>
            <wp:effectExtent l="0" t="0" r="0"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5760720" cy="4448236"/>
                    </a:xfrm>
                    <a:prstGeom prst="rect">
                      <a:avLst/>
                    </a:prstGeom>
                  </pic:spPr>
                </pic:pic>
              </a:graphicData>
            </a:graphic>
          </wp:inline>
        </w:drawing>
      </w:r>
      <w:bookmarkStart w:id="1" w:name="_GoBack"/>
      <w:bookmarkEnd w:id="1"/>
    </w:p>
    <w:sectPr w:rsidR="0009551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B37"/>
    <w:rsid w:val="00095518"/>
    <w:rsid w:val="00D97B3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97B37"/>
    <w:pPr>
      <w:widowControl w:val="0"/>
      <w:autoSpaceDE w:val="0"/>
      <w:autoSpaceDN w:val="0"/>
      <w:spacing w:after="0" w:line="240" w:lineRule="auto"/>
    </w:pPr>
    <w:rPr>
      <w:rFonts w:ascii="Times New Roman" w:eastAsia="Times New Roman" w:hAnsi="Times New Roman" w:cs="Times New Roman"/>
    </w:rPr>
  </w:style>
  <w:style w:type="paragraph" w:styleId="Titre1">
    <w:name w:val="heading 1"/>
    <w:basedOn w:val="Normal"/>
    <w:link w:val="Titre1Car"/>
    <w:uiPriority w:val="1"/>
    <w:qFormat/>
    <w:rsid w:val="00D97B37"/>
    <w:pPr>
      <w:spacing w:before="89"/>
      <w:ind w:left="406" w:right="825"/>
      <w:jc w:val="center"/>
      <w:outlineLvl w:val="0"/>
    </w:pPr>
    <w:rPr>
      <w:b/>
      <w:bCs/>
      <w:sz w:val="28"/>
      <w:szCs w:val="28"/>
    </w:rPr>
  </w:style>
  <w:style w:type="paragraph" w:styleId="Titre3">
    <w:name w:val="heading 3"/>
    <w:basedOn w:val="Normal"/>
    <w:link w:val="Titre3Car"/>
    <w:uiPriority w:val="1"/>
    <w:semiHidden/>
    <w:unhideWhenUsed/>
    <w:qFormat/>
    <w:rsid w:val="00D97B37"/>
    <w:pPr>
      <w:spacing w:before="90"/>
      <w:ind w:left="416"/>
      <w:outlineLvl w:val="2"/>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1"/>
    <w:rsid w:val="00D97B37"/>
    <w:rPr>
      <w:rFonts w:ascii="Times New Roman" w:eastAsia="Times New Roman" w:hAnsi="Times New Roman" w:cs="Times New Roman"/>
      <w:b/>
      <w:bCs/>
      <w:sz w:val="28"/>
      <w:szCs w:val="28"/>
    </w:rPr>
  </w:style>
  <w:style w:type="character" w:customStyle="1" w:styleId="Titre3Car">
    <w:name w:val="Titre 3 Car"/>
    <w:basedOn w:val="Policepardfaut"/>
    <w:link w:val="Titre3"/>
    <w:uiPriority w:val="1"/>
    <w:semiHidden/>
    <w:rsid w:val="00D97B37"/>
    <w:rPr>
      <w:rFonts w:ascii="Times New Roman" w:eastAsia="Times New Roman" w:hAnsi="Times New Roman" w:cs="Times New Roman"/>
      <w:b/>
      <w:bCs/>
      <w:sz w:val="24"/>
      <w:szCs w:val="24"/>
    </w:rPr>
  </w:style>
  <w:style w:type="paragraph" w:styleId="Corpsdetexte">
    <w:name w:val="Body Text"/>
    <w:basedOn w:val="Normal"/>
    <w:link w:val="CorpsdetexteCar"/>
    <w:uiPriority w:val="1"/>
    <w:semiHidden/>
    <w:unhideWhenUsed/>
    <w:qFormat/>
    <w:rsid w:val="00D97B37"/>
    <w:rPr>
      <w:sz w:val="24"/>
      <w:szCs w:val="24"/>
    </w:rPr>
  </w:style>
  <w:style w:type="character" w:customStyle="1" w:styleId="CorpsdetexteCar">
    <w:name w:val="Corps de texte Car"/>
    <w:basedOn w:val="Policepardfaut"/>
    <w:link w:val="Corpsdetexte"/>
    <w:uiPriority w:val="1"/>
    <w:semiHidden/>
    <w:rsid w:val="00D97B37"/>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D97B37"/>
    <w:rPr>
      <w:rFonts w:ascii="Tahoma" w:hAnsi="Tahoma" w:cs="Tahoma"/>
      <w:sz w:val="16"/>
      <w:szCs w:val="16"/>
    </w:rPr>
  </w:style>
  <w:style w:type="character" w:customStyle="1" w:styleId="TextedebullesCar">
    <w:name w:val="Texte de bulles Car"/>
    <w:basedOn w:val="Policepardfaut"/>
    <w:link w:val="Textedebulles"/>
    <w:uiPriority w:val="99"/>
    <w:semiHidden/>
    <w:rsid w:val="00D97B37"/>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97B37"/>
    <w:pPr>
      <w:widowControl w:val="0"/>
      <w:autoSpaceDE w:val="0"/>
      <w:autoSpaceDN w:val="0"/>
      <w:spacing w:after="0" w:line="240" w:lineRule="auto"/>
    </w:pPr>
    <w:rPr>
      <w:rFonts w:ascii="Times New Roman" w:eastAsia="Times New Roman" w:hAnsi="Times New Roman" w:cs="Times New Roman"/>
    </w:rPr>
  </w:style>
  <w:style w:type="paragraph" w:styleId="Titre1">
    <w:name w:val="heading 1"/>
    <w:basedOn w:val="Normal"/>
    <w:link w:val="Titre1Car"/>
    <w:uiPriority w:val="1"/>
    <w:qFormat/>
    <w:rsid w:val="00D97B37"/>
    <w:pPr>
      <w:spacing w:before="89"/>
      <w:ind w:left="406" w:right="825"/>
      <w:jc w:val="center"/>
      <w:outlineLvl w:val="0"/>
    </w:pPr>
    <w:rPr>
      <w:b/>
      <w:bCs/>
      <w:sz w:val="28"/>
      <w:szCs w:val="28"/>
    </w:rPr>
  </w:style>
  <w:style w:type="paragraph" w:styleId="Titre3">
    <w:name w:val="heading 3"/>
    <w:basedOn w:val="Normal"/>
    <w:link w:val="Titre3Car"/>
    <w:uiPriority w:val="1"/>
    <w:semiHidden/>
    <w:unhideWhenUsed/>
    <w:qFormat/>
    <w:rsid w:val="00D97B37"/>
    <w:pPr>
      <w:spacing w:before="90"/>
      <w:ind w:left="416"/>
      <w:outlineLvl w:val="2"/>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1"/>
    <w:rsid w:val="00D97B37"/>
    <w:rPr>
      <w:rFonts w:ascii="Times New Roman" w:eastAsia="Times New Roman" w:hAnsi="Times New Roman" w:cs="Times New Roman"/>
      <w:b/>
      <w:bCs/>
      <w:sz w:val="28"/>
      <w:szCs w:val="28"/>
    </w:rPr>
  </w:style>
  <w:style w:type="character" w:customStyle="1" w:styleId="Titre3Car">
    <w:name w:val="Titre 3 Car"/>
    <w:basedOn w:val="Policepardfaut"/>
    <w:link w:val="Titre3"/>
    <w:uiPriority w:val="1"/>
    <w:semiHidden/>
    <w:rsid w:val="00D97B37"/>
    <w:rPr>
      <w:rFonts w:ascii="Times New Roman" w:eastAsia="Times New Roman" w:hAnsi="Times New Roman" w:cs="Times New Roman"/>
      <w:b/>
      <w:bCs/>
      <w:sz w:val="24"/>
      <w:szCs w:val="24"/>
    </w:rPr>
  </w:style>
  <w:style w:type="paragraph" w:styleId="Corpsdetexte">
    <w:name w:val="Body Text"/>
    <w:basedOn w:val="Normal"/>
    <w:link w:val="CorpsdetexteCar"/>
    <w:uiPriority w:val="1"/>
    <w:semiHidden/>
    <w:unhideWhenUsed/>
    <w:qFormat/>
    <w:rsid w:val="00D97B37"/>
    <w:rPr>
      <w:sz w:val="24"/>
      <w:szCs w:val="24"/>
    </w:rPr>
  </w:style>
  <w:style w:type="character" w:customStyle="1" w:styleId="CorpsdetexteCar">
    <w:name w:val="Corps de texte Car"/>
    <w:basedOn w:val="Policepardfaut"/>
    <w:link w:val="Corpsdetexte"/>
    <w:uiPriority w:val="1"/>
    <w:semiHidden/>
    <w:rsid w:val="00D97B37"/>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D97B37"/>
    <w:rPr>
      <w:rFonts w:ascii="Tahoma" w:hAnsi="Tahoma" w:cs="Tahoma"/>
      <w:sz w:val="16"/>
      <w:szCs w:val="16"/>
    </w:rPr>
  </w:style>
  <w:style w:type="character" w:customStyle="1" w:styleId="TextedebullesCar">
    <w:name w:val="Texte de bulles Car"/>
    <w:basedOn w:val="Policepardfaut"/>
    <w:link w:val="Textedebulles"/>
    <w:uiPriority w:val="99"/>
    <w:semiHidden/>
    <w:rsid w:val="00D97B37"/>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5808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414</Words>
  <Characters>2283</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dc:creator>
  <cp:lastModifiedBy>www</cp:lastModifiedBy>
  <cp:revision>1</cp:revision>
  <dcterms:created xsi:type="dcterms:W3CDTF">2022-06-25T13:39:00Z</dcterms:created>
  <dcterms:modified xsi:type="dcterms:W3CDTF">2022-06-25T13:48:00Z</dcterms:modified>
</cp:coreProperties>
</file>