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722" w:rsidRPr="00BE5722" w:rsidRDefault="00BE5722" w:rsidP="00BE5722">
      <w:pPr>
        <w:pStyle w:val="Corpsdetexte"/>
        <w:spacing w:line="360" w:lineRule="auto"/>
        <w:ind w:right="114"/>
        <w:jc w:val="both"/>
        <w:rPr>
          <w:rFonts w:asciiTheme="majorBidi" w:hAnsiTheme="majorBidi" w:cstheme="majorBidi"/>
          <w:b/>
          <w:bCs/>
        </w:rPr>
      </w:pPr>
      <w:r w:rsidRPr="00BE5722">
        <w:rPr>
          <w:rFonts w:asciiTheme="majorBidi" w:hAnsiTheme="majorBidi" w:cstheme="majorBidi"/>
          <w:b/>
          <w:bCs/>
        </w:rPr>
        <w:t xml:space="preserve">Résumé </w:t>
      </w:r>
    </w:p>
    <w:p w:rsidR="00BE5722" w:rsidRPr="00BE5722" w:rsidRDefault="00BE5722" w:rsidP="00550C36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BE5722">
        <w:rPr>
          <w:rFonts w:asciiTheme="majorBidi" w:hAnsiTheme="majorBidi" w:cstheme="majorBidi"/>
          <w:i/>
          <w:iCs/>
          <w:sz w:val="24"/>
          <w:szCs w:val="24"/>
        </w:rPr>
        <w:t>Lantana camara</w:t>
      </w:r>
      <w:r w:rsidRPr="00BE5722">
        <w:rPr>
          <w:rFonts w:asciiTheme="majorBidi" w:hAnsiTheme="majorBidi" w:cstheme="majorBidi"/>
          <w:sz w:val="24"/>
          <w:szCs w:val="24"/>
        </w:rPr>
        <w:t xml:space="preserve"> L. est une plante appartenant à la famille des Verbénacées, largement distribuée dans le monde et présente de multiples propriétés médicinales. La présente étude est portée sur la caractérisation botanique et phytochimique de cette plante ; pour cela plusieurs testes ont été effectués.</w:t>
      </w:r>
    </w:p>
    <w:p w:rsidR="00BE5722" w:rsidRPr="00BE5722" w:rsidRDefault="00BE5722" w:rsidP="00550C36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BE5722">
        <w:rPr>
          <w:rFonts w:asciiTheme="majorBidi" w:hAnsiTheme="majorBidi" w:cstheme="majorBidi"/>
          <w:sz w:val="24"/>
          <w:szCs w:val="24"/>
        </w:rPr>
        <w:t>L’extraction par des solvants organique a mis en évidence 3 extraits de</w:t>
      </w:r>
      <w:r w:rsidR="00971F49">
        <w:rPr>
          <w:rFonts w:asciiTheme="majorBidi" w:hAnsiTheme="majorBidi" w:cstheme="majorBidi"/>
          <w:sz w:val="24"/>
          <w:szCs w:val="24"/>
        </w:rPr>
        <w:t xml:space="preserve"> polarité différente, de plus </w:t>
      </w:r>
      <w:r w:rsidRPr="00BE5722">
        <w:rPr>
          <w:rFonts w:asciiTheme="majorBidi" w:hAnsiTheme="majorBidi" w:cstheme="majorBidi"/>
          <w:sz w:val="24"/>
          <w:szCs w:val="24"/>
        </w:rPr>
        <w:t xml:space="preserve"> l’extrait aqueux obtenu par macération aqueuse.</w:t>
      </w:r>
    </w:p>
    <w:p w:rsidR="00BE5722" w:rsidRPr="00BE5722" w:rsidRDefault="00BE5722" w:rsidP="00705A80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E5722">
        <w:rPr>
          <w:rFonts w:asciiTheme="majorBidi" w:hAnsiTheme="majorBidi" w:cstheme="majorBidi"/>
          <w:sz w:val="24"/>
          <w:szCs w:val="24"/>
        </w:rPr>
        <w:tab/>
      </w:r>
      <w:r w:rsidR="00705A80">
        <w:rPr>
          <w:rFonts w:asciiTheme="majorBidi" w:hAnsiTheme="majorBidi" w:cstheme="majorBidi"/>
          <w:sz w:val="24"/>
          <w:szCs w:val="24"/>
        </w:rPr>
        <w:t xml:space="preserve">La quantification des polyphénols, des tanins hydrolysables, des flavonoïdes et des sucres totaux </w:t>
      </w:r>
      <w:r w:rsidRPr="00BE5722">
        <w:rPr>
          <w:rFonts w:asciiTheme="majorBidi" w:hAnsiTheme="majorBidi" w:cstheme="majorBidi"/>
          <w:sz w:val="24"/>
          <w:szCs w:val="24"/>
        </w:rPr>
        <w:t xml:space="preserve">par les testes spectrophotométriques a révélé leurs présences en quantités considérables.    </w:t>
      </w:r>
    </w:p>
    <w:p w:rsidR="00BE5722" w:rsidRPr="00BE5722" w:rsidRDefault="00BE5722" w:rsidP="00550C36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E5722">
        <w:rPr>
          <w:rFonts w:asciiTheme="majorBidi" w:hAnsiTheme="majorBidi" w:cstheme="majorBidi"/>
          <w:sz w:val="24"/>
          <w:szCs w:val="24"/>
        </w:rPr>
        <w:t xml:space="preserve">             L’activité antioxydantes des différents extraits a été évaluée par</w:t>
      </w:r>
      <w:r w:rsidR="00971F49">
        <w:rPr>
          <w:rFonts w:asciiTheme="majorBidi" w:hAnsiTheme="majorBidi" w:cstheme="majorBidi"/>
          <w:sz w:val="24"/>
          <w:szCs w:val="24"/>
        </w:rPr>
        <w:t xml:space="preserve"> des testes chimiques tels que </w:t>
      </w:r>
      <w:r w:rsidRPr="00BE5722">
        <w:rPr>
          <w:rFonts w:asciiTheme="majorBidi" w:hAnsiTheme="majorBidi" w:cstheme="majorBidi"/>
          <w:sz w:val="24"/>
          <w:szCs w:val="24"/>
        </w:rPr>
        <w:t xml:space="preserve"> </w:t>
      </w:r>
      <w:r w:rsidR="00971F49" w:rsidRPr="00BE5722">
        <w:rPr>
          <w:rFonts w:asciiTheme="majorBidi" w:hAnsiTheme="majorBidi" w:cstheme="majorBidi"/>
          <w:sz w:val="24"/>
          <w:szCs w:val="24"/>
        </w:rPr>
        <w:t>la méthode de la réduction du fer et celle du piégeage du radical libre DPPH</w:t>
      </w:r>
      <w:r w:rsidR="00971F49">
        <w:rPr>
          <w:rFonts w:asciiTheme="majorBidi" w:hAnsiTheme="majorBidi" w:cstheme="majorBidi"/>
          <w:sz w:val="24"/>
          <w:szCs w:val="24"/>
        </w:rPr>
        <w:t>.</w:t>
      </w:r>
      <w:r w:rsidR="00971F49" w:rsidRPr="00BE5722">
        <w:rPr>
          <w:rFonts w:asciiTheme="majorBidi" w:hAnsiTheme="majorBidi" w:cstheme="majorBidi"/>
          <w:sz w:val="24"/>
          <w:szCs w:val="24"/>
        </w:rPr>
        <w:t xml:space="preserve"> </w:t>
      </w:r>
      <w:r w:rsidRPr="00BE5722">
        <w:rPr>
          <w:rFonts w:asciiTheme="majorBidi" w:hAnsiTheme="majorBidi" w:cstheme="majorBidi"/>
          <w:sz w:val="24"/>
          <w:szCs w:val="24"/>
        </w:rPr>
        <w:t xml:space="preserve">Les résultats obtenus ont montré un pouvoir réducteur important de certains extraits.   </w:t>
      </w:r>
    </w:p>
    <w:p w:rsidR="00BE5722" w:rsidRPr="00BE5722" w:rsidRDefault="00BE5722" w:rsidP="00550C36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E5722">
        <w:rPr>
          <w:rFonts w:asciiTheme="majorBidi" w:hAnsiTheme="majorBidi" w:cstheme="majorBidi"/>
          <w:sz w:val="24"/>
          <w:szCs w:val="24"/>
        </w:rPr>
        <w:tab/>
        <w:t xml:space="preserve">Le pouvoir antibactérien des différents extraits a été évalué vis à vis des bactéries à gram positif et à gram négatif par la méthode de diffusion sur milieu solide ; les résultats obtenus ont montré que l’extrait méthanolique est le plus puissant sur la souche </w:t>
      </w:r>
      <w:r w:rsidRPr="00BE5722">
        <w:rPr>
          <w:rFonts w:asciiTheme="majorBidi" w:hAnsiTheme="majorBidi" w:cstheme="majorBidi"/>
          <w:i/>
          <w:iCs/>
          <w:sz w:val="24"/>
          <w:szCs w:val="24"/>
        </w:rPr>
        <w:t>Staphylococcus aurues.</w:t>
      </w:r>
    </w:p>
    <w:p w:rsidR="00BE5722" w:rsidRPr="00BE5722" w:rsidRDefault="00BE5722" w:rsidP="00550C36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E5722">
        <w:rPr>
          <w:rFonts w:asciiTheme="majorBidi" w:hAnsiTheme="majorBidi" w:cstheme="majorBidi"/>
          <w:sz w:val="24"/>
          <w:szCs w:val="24"/>
        </w:rPr>
        <w:tab/>
        <w:t xml:space="preserve">L’activité insecticide des différents extraits à des concentrations différentes a été évaluée contre les adultes et les larves de l’espèce </w:t>
      </w:r>
      <w:r w:rsidRPr="00BE5722">
        <w:rPr>
          <w:rFonts w:asciiTheme="majorBidi" w:hAnsiTheme="majorBidi" w:cstheme="majorBidi"/>
          <w:bCs/>
          <w:i/>
          <w:iCs/>
          <w:sz w:val="24"/>
          <w:szCs w:val="24"/>
        </w:rPr>
        <w:t>Triboluim castaneum</w:t>
      </w:r>
      <w:r w:rsidRPr="00BE5722">
        <w:rPr>
          <w:rFonts w:asciiTheme="majorBidi" w:hAnsiTheme="majorBidi" w:cstheme="majorBidi"/>
          <w:sz w:val="24"/>
          <w:szCs w:val="24"/>
        </w:rPr>
        <w:t xml:space="preserve">   L. les résultats obtenus montrent que l’extrait méthanolique possède  le plus fort pouvoir sur cette espèce.</w:t>
      </w:r>
    </w:p>
    <w:p w:rsidR="00BE5722" w:rsidRPr="00BE5722" w:rsidRDefault="00BE5722" w:rsidP="00550C36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E5722">
        <w:rPr>
          <w:rFonts w:asciiTheme="majorBidi" w:hAnsiTheme="majorBidi" w:cstheme="majorBidi"/>
          <w:sz w:val="24"/>
          <w:szCs w:val="24"/>
        </w:rPr>
        <w:tab/>
        <w:t>La capacité hémolytique et anticoagulante de cette plante a été évaluée sur le sang humain ; les résultats obtenus ont montré  l’efficacité de cette espèce.</w:t>
      </w:r>
    </w:p>
    <w:p w:rsidR="00705D6A" w:rsidRDefault="00BE5722" w:rsidP="00550C36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E5722">
        <w:rPr>
          <w:rFonts w:asciiTheme="majorBidi" w:hAnsiTheme="majorBidi" w:cstheme="majorBidi"/>
          <w:sz w:val="24"/>
          <w:szCs w:val="24"/>
        </w:rPr>
        <w:tab/>
        <w:t>Le potentiel allélopathique de l’extrait aqueux sur la germination et le développement  de quatre espèces céréalières et légumineuses a montré son effet inhibiteur sur plusieurs paramètres de germination et de croissance. La poudre des feuilles de cette plante a montré d’une part son effet inhibiteur sur les mêmes espèces céréalières et légumineuses ; et d’autre part son efficacité sur la conservation en poste récolte de ces  mêmes espèces. L’effet inhibiteur de l’extrait aqueux sur le développement et la croissance des espèces adventices a montré son efficacité.</w:t>
      </w:r>
    </w:p>
    <w:p w:rsidR="00292726" w:rsidRDefault="0054660F" w:rsidP="001F1D9A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706D5">
        <w:rPr>
          <w:rFonts w:asciiTheme="majorBidi" w:hAnsiTheme="majorBidi" w:cstheme="majorBidi"/>
          <w:b/>
          <w:bCs/>
          <w:sz w:val="24"/>
          <w:szCs w:val="24"/>
        </w:rPr>
        <w:t>Mots clés :</w:t>
      </w:r>
      <w:r w:rsidR="001F1D9A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1F1D9A">
        <w:rPr>
          <w:rFonts w:asciiTheme="majorBidi" w:hAnsiTheme="majorBidi" w:cstheme="majorBidi"/>
          <w:sz w:val="24"/>
          <w:szCs w:val="24"/>
        </w:rPr>
        <w:t>Activité antioxydante</w:t>
      </w:r>
      <w:r w:rsidRPr="002706D5">
        <w:rPr>
          <w:rFonts w:asciiTheme="majorBidi" w:hAnsiTheme="majorBidi" w:cstheme="majorBidi"/>
          <w:sz w:val="24"/>
          <w:szCs w:val="24"/>
        </w:rPr>
        <w:t xml:space="preserve">, </w:t>
      </w:r>
      <w:r w:rsidRPr="002706D5">
        <w:rPr>
          <w:rFonts w:asciiTheme="majorBidi" w:hAnsiTheme="majorBidi" w:cstheme="majorBidi"/>
          <w:i/>
          <w:iCs/>
          <w:sz w:val="24"/>
          <w:szCs w:val="24"/>
        </w:rPr>
        <w:t>Lantana camara</w:t>
      </w:r>
      <w:r w:rsidRPr="002706D5">
        <w:rPr>
          <w:rFonts w:asciiTheme="majorBidi" w:hAnsiTheme="majorBidi" w:cstheme="majorBidi"/>
          <w:sz w:val="24"/>
          <w:szCs w:val="24"/>
        </w:rPr>
        <w:t xml:space="preserve"> L., métabolites secondaires, phytochimie, activité </w:t>
      </w:r>
      <w:r w:rsidR="001F1D9A">
        <w:rPr>
          <w:rFonts w:asciiTheme="majorBidi" w:hAnsiTheme="majorBidi" w:cstheme="majorBidi"/>
          <w:sz w:val="24"/>
          <w:szCs w:val="24"/>
        </w:rPr>
        <w:t>antibactérienne</w:t>
      </w:r>
      <w:r w:rsidRPr="002706D5">
        <w:rPr>
          <w:rFonts w:asciiTheme="majorBidi" w:hAnsiTheme="majorBidi" w:cstheme="majorBidi"/>
          <w:sz w:val="24"/>
          <w:szCs w:val="24"/>
        </w:rPr>
        <w:t>, activités biocides</w:t>
      </w:r>
      <w:r w:rsidR="001F1D9A">
        <w:rPr>
          <w:rFonts w:asciiTheme="majorBidi" w:hAnsiTheme="majorBidi" w:cstheme="majorBidi"/>
          <w:sz w:val="24"/>
          <w:szCs w:val="24"/>
        </w:rPr>
        <w:t xml:space="preserve">, activité anticoagulante. </w:t>
      </w:r>
    </w:p>
    <w:p w:rsidR="00292726" w:rsidRPr="00BE5722" w:rsidRDefault="00292726" w:rsidP="00550C36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292726" w:rsidRPr="00BE5722" w:rsidSect="001B79B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3E9" w:rsidRDefault="006003E9" w:rsidP="00BE5722">
      <w:pPr>
        <w:spacing w:after="0" w:line="240" w:lineRule="auto"/>
      </w:pPr>
      <w:r>
        <w:separator/>
      </w:r>
    </w:p>
  </w:endnote>
  <w:endnote w:type="continuationSeparator" w:id="1">
    <w:p w:rsidR="006003E9" w:rsidRDefault="006003E9" w:rsidP="00BE57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3E9" w:rsidRDefault="006003E9" w:rsidP="00BE5722">
      <w:pPr>
        <w:spacing w:after="0" w:line="240" w:lineRule="auto"/>
      </w:pPr>
      <w:r>
        <w:separator/>
      </w:r>
    </w:p>
  </w:footnote>
  <w:footnote w:type="continuationSeparator" w:id="1">
    <w:p w:rsidR="006003E9" w:rsidRDefault="006003E9" w:rsidP="00BE57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Titre"/>
      <w:id w:val="77738743"/>
      <w:placeholder>
        <w:docPart w:val="39A692899EE04B219E72215AA3399B7C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BE5722" w:rsidRDefault="00BE5722" w:rsidP="00BE5722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 xml:space="preserve">                                                                                                                 Résumé </w:t>
        </w:r>
      </w:p>
    </w:sdtContent>
  </w:sdt>
  <w:p w:rsidR="00BE5722" w:rsidRDefault="00BE5722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E5722"/>
    <w:rsid w:val="0003782F"/>
    <w:rsid w:val="001B79B6"/>
    <w:rsid w:val="001F1D9A"/>
    <w:rsid w:val="00292726"/>
    <w:rsid w:val="004F724E"/>
    <w:rsid w:val="00537332"/>
    <w:rsid w:val="0054660F"/>
    <w:rsid w:val="00550C36"/>
    <w:rsid w:val="006003E9"/>
    <w:rsid w:val="00705A80"/>
    <w:rsid w:val="00705D6A"/>
    <w:rsid w:val="00832CE5"/>
    <w:rsid w:val="00956F53"/>
    <w:rsid w:val="00971F49"/>
    <w:rsid w:val="009C6B05"/>
    <w:rsid w:val="00BE5722"/>
    <w:rsid w:val="00EB61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79B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BE572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BE5722"/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styleId="En-tte">
    <w:name w:val="header"/>
    <w:basedOn w:val="Normal"/>
    <w:link w:val="En-tteCar"/>
    <w:uiPriority w:val="99"/>
    <w:unhideWhenUsed/>
    <w:rsid w:val="00BE57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E5722"/>
  </w:style>
  <w:style w:type="paragraph" w:styleId="Pieddepage">
    <w:name w:val="footer"/>
    <w:basedOn w:val="Normal"/>
    <w:link w:val="PieddepageCar"/>
    <w:uiPriority w:val="99"/>
    <w:semiHidden/>
    <w:unhideWhenUsed/>
    <w:rsid w:val="00BE57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E5722"/>
  </w:style>
  <w:style w:type="paragraph" w:styleId="Textedebulles">
    <w:name w:val="Balloon Text"/>
    <w:basedOn w:val="Normal"/>
    <w:link w:val="TextedebullesCar"/>
    <w:uiPriority w:val="99"/>
    <w:semiHidden/>
    <w:unhideWhenUsed/>
    <w:rsid w:val="00BE5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E572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9A692899EE04B219E72215AA3399B7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3141911-DFB7-4E97-8400-0CC0061D4FBE}"/>
      </w:docPartPr>
      <w:docPartBody>
        <w:p w:rsidR="000236D6" w:rsidRDefault="009B5451" w:rsidP="009B5451">
          <w:pPr>
            <w:pStyle w:val="39A692899EE04B219E72215AA3399B7C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B5451"/>
    <w:rsid w:val="000236D6"/>
    <w:rsid w:val="000D6F17"/>
    <w:rsid w:val="009B5451"/>
    <w:rsid w:val="009F5394"/>
    <w:rsid w:val="00B77C37"/>
    <w:rsid w:val="00EB55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36D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39A692899EE04B219E72215AA3399B7C">
    <w:name w:val="39A692899EE04B219E72215AA3399B7C"/>
    <w:rsid w:val="009B545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366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Résumé </vt:lpstr>
    </vt:vector>
  </TitlesOfParts>
  <Company/>
  <LinksUpToDate>false</LinksUpToDate>
  <CharactersWithSpaces>2378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Résumé </dc:title>
  <dc:subject/>
  <dc:creator>TSHIBA</dc:creator>
  <cp:keywords/>
  <dc:description/>
  <cp:lastModifiedBy>TSHIBA</cp:lastModifiedBy>
  <cp:revision>8</cp:revision>
  <dcterms:created xsi:type="dcterms:W3CDTF">2022-01-21T20:44:00Z</dcterms:created>
  <dcterms:modified xsi:type="dcterms:W3CDTF">2022-07-14T17:05:00Z</dcterms:modified>
</cp:coreProperties>
</file>