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4B22" w:rsidRPr="00743B44" w:rsidRDefault="00744B22" w:rsidP="0099371F">
      <w:pPr>
        <w:spacing w:line="360" w:lineRule="auto"/>
        <w:jc w:val="center"/>
        <w:rPr>
          <w:rFonts w:asciiTheme="majorBidi" w:hAnsiTheme="majorBidi" w:cstheme="majorBidi"/>
          <w:b/>
          <w:bCs/>
          <w:sz w:val="24"/>
          <w:szCs w:val="24"/>
          <w:lang w:val="fr-FR"/>
        </w:rPr>
      </w:pPr>
      <w:r w:rsidRPr="00743B44">
        <w:rPr>
          <w:rFonts w:asciiTheme="majorBidi" w:hAnsiTheme="majorBidi" w:cstheme="majorBidi"/>
          <w:b/>
          <w:bCs/>
          <w:sz w:val="24"/>
          <w:szCs w:val="24"/>
          <w:lang w:val="fr-FR"/>
        </w:rPr>
        <w:t>Rés</w:t>
      </w:r>
      <w:bookmarkStart w:id="0" w:name="_GoBack"/>
      <w:bookmarkEnd w:id="0"/>
      <w:r w:rsidRPr="00743B44">
        <w:rPr>
          <w:rFonts w:asciiTheme="majorBidi" w:hAnsiTheme="majorBidi" w:cstheme="majorBidi"/>
          <w:b/>
          <w:bCs/>
          <w:sz w:val="24"/>
          <w:szCs w:val="24"/>
          <w:lang w:val="fr-FR"/>
        </w:rPr>
        <w:t>umé</w:t>
      </w:r>
    </w:p>
    <w:p w:rsidR="00E60496" w:rsidRDefault="00744B22" w:rsidP="00744B22">
      <w:pPr>
        <w:spacing w:line="360" w:lineRule="auto"/>
        <w:jc w:val="both"/>
        <w:rPr>
          <w:rFonts w:asciiTheme="majorBidi" w:hAnsiTheme="majorBidi" w:cstheme="majorBidi"/>
          <w:sz w:val="24"/>
          <w:szCs w:val="24"/>
          <w:rtl/>
        </w:rPr>
      </w:pPr>
      <w:r w:rsidRPr="00744B22">
        <w:rPr>
          <w:rFonts w:asciiTheme="majorBidi" w:hAnsiTheme="majorBidi" w:cstheme="majorBidi"/>
          <w:sz w:val="24"/>
          <w:szCs w:val="24"/>
          <w:lang w:val="fr-FR"/>
        </w:rPr>
        <w:t>MILD est une technologie prometteuse avec des propriétés importantes telles que zéro émission et un rendement élevé. Le mélange biogaz-gaz de synthèse est également considéré comme un nouveau biocarburant renouvelable prometteur à faibles émissions. L'objectif de ce travail est d'examiner les effets de plusieurs paramètres sur la structure de la flamme et les émissions de combustible biogaz-</w:t>
      </w:r>
      <w:proofErr w:type="spellStart"/>
      <w:r w:rsidRPr="00744B22">
        <w:rPr>
          <w:rFonts w:asciiTheme="majorBidi" w:hAnsiTheme="majorBidi" w:cstheme="majorBidi"/>
          <w:sz w:val="24"/>
          <w:szCs w:val="24"/>
          <w:lang w:val="fr-FR"/>
        </w:rPr>
        <w:t>syngaz</w:t>
      </w:r>
      <w:proofErr w:type="spellEnd"/>
      <w:r w:rsidRPr="00744B22">
        <w:rPr>
          <w:rFonts w:asciiTheme="majorBidi" w:hAnsiTheme="majorBidi" w:cstheme="majorBidi"/>
          <w:sz w:val="24"/>
          <w:szCs w:val="24"/>
          <w:lang w:val="fr-FR"/>
        </w:rPr>
        <w:t xml:space="preserve"> dans des conditions MILD dans un brûleur JHC (Jet in Hot Co flow). Le modèle k-</w:t>
      </w:r>
      <w:r w:rsidRPr="00744B22">
        <w:rPr>
          <w:rFonts w:asciiTheme="majorBidi" w:hAnsiTheme="majorBidi" w:cstheme="majorBidi"/>
          <w:sz w:val="24"/>
          <w:szCs w:val="24"/>
        </w:rPr>
        <w:t>ε</w:t>
      </w:r>
      <w:r w:rsidRPr="00744B22">
        <w:rPr>
          <w:rFonts w:asciiTheme="majorBidi" w:hAnsiTheme="majorBidi" w:cstheme="majorBidi"/>
          <w:sz w:val="24"/>
          <w:szCs w:val="24"/>
          <w:lang w:val="fr-FR"/>
        </w:rPr>
        <w:t xml:space="preserve"> standard modifié est adopté pour la modélisation de la turbulence et le modèle Eddy Dissipation Concept (EDC) est utilisé avec trois mécanismes de réaction détaillés, à savoir : GRI-</w:t>
      </w:r>
      <w:proofErr w:type="spellStart"/>
      <w:r w:rsidRPr="00744B22">
        <w:rPr>
          <w:rFonts w:asciiTheme="majorBidi" w:hAnsiTheme="majorBidi" w:cstheme="majorBidi"/>
          <w:sz w:val="24"/>
          <w:szCs w:val="24"/>
          <w:lang w:val="fr-FR"/>
        </w:rPr>
        <w:t>Mech</w:t>
      </w:r>
      <w:proofErr w:type="spellEnd"/>
      <w:r w:rsidRPr="00744B22">
        <w:rPr>
          <w:rFonts w:asciiTheme="majorBidi" w:hAnsiTheme="majorBidi" w:cstheme="majorBidi"/>
          <w:sz w:val="24"/>
          <w:szCs w:val="24"/>
          <w:lang w:val="fr-FR"/>
        </w:rPr>
        <w:t xml:space="preserve"> 3.0, GRI-</w:t>
      </w:r>
      <w:proofErr w:type="spellStart"/>
      <w:r w:rsidRPr="00744B22">
        <w:rPr>
          <w:rFonts w:asciiTheme="majorBidi" w:hAnsiTheme="majorBidi" w:cstheme="majorBidi"/>
          <w:sz w:val="24"/>
          <w:szCs w:val="24"/>
          <w:lang w:val="fr-FR"/>
        </w:rPr>
        <w:t>Mech</w:t>
      </w:r>
      <w:proofErr w:type="spellEnd"/>
      <w:r w:rsidRPr="00744B22">
        <w:rPr>
          <w:rFonts w:asciiTheme="majorBidi" w:hAnsiTheme="majorBidi" w:cstheme="majorBidi"/>
          <w:sz w:val="24"/>
          <w:szCs w:val="24"/>
          <w:lang w:val="fr-FR"/>
        </w:rPr>
        <w:t xml:space="preserve"> 2.11 et DRM 2.11. Les effets de la composition du biogaz-gaz de synthèse, de la température et de la concentration en oxygène dans le </w:t>
      </w:r>
      <w:proofErr w:type="spellStart"/>
      <w:r w:rsidRPr="00744B22">
        <w:rPr>
          <w:rFonts w:asciiTheme="majorBidi" w:hAnsiTheme="majorBidi" w:cstheme="majorBidi"/>
          <w:sz w:val="24"/>
          <w:szCs w:val="24"/>
          <w:lang w:val="fr-FR"/>
        </w:rPr>
        <w:t>co</w:t>
      </w:r>
      <w:proofErr w:type="spellEnd"/>
      <w:r w:rsidRPr="00744B22">
        <w:rPr>
          <w:rFonts w:asciiTheme="majorBidi" w:hAnsiTheme="majorBidi" w:cstheme="majorBidi"/>
          <w:sz w:val="24"/>
          <w:szCs w:val="24"/>
          <w:lang w:val="fr-FR"/>
        </w:rPr>
        <w:t>-flux chaud et le nombre de Reynolds du jet de carburant ont été élucidés. Les résultats montrent que la structure de la flamme est plus sensible à l'augmentation de l'hydrogène dans le gaz de synthèse que celle du méthane dans le biogaz. Une augmentation de la température et de la concentration en oxygène dans le flux de co-courant conduit à plus de formation de NO alors que l'augmentation du nombre de Reynolds les réduit. De plus, la production d'espèces NO est globalement régie par la voie NNH</w:t>
      </w:r>
      <w:r w:rsidRPr="00744B22">
        <w:rPr>
          <w:rFonts w:asciiTheme="majorBidi" w:hAnsiTheme="majorBidi" w:cstheme="majorBidi"/>
          <w:sz w:val="24"/>
          <w:szCs w:val="24"/>
          <w:rtl/>
        </w:rPr>
        <w:t>.</w:t>
      </w:r>
    </w:p>
    <w:p w:rsidR="00743B44" w:rsidRPr="00743B44" w:rsidRDefault="00743B44" w:rsidP="0099371F">
      <w:pPr>
        <w:spacing w:line="360" w:lineRule="auto"/>
        <w:jc w:val="center"/>
        <w:rPr>
          <w:rFonts w:asciiTheme="majorBidi" w:hAnsiTheme="majorBidi" w:cstheme="majorBidi"/>
          <w:b/>
          <w:bCs/>
          <w:sz w:val="24"/>
          <w:szCs w:val="24"/>
          <w:rtl/>
        </w:rPr>
      </w:pPr>
      <w:r w:rsidRPr="00743B44">
        <w:rPr>
          <w:rFonts w:asciiTheme="majorBidi" w:hAnsiTheme="majorBidi" w:cstheme="majorBidi"/>
          <w:b/>
          <w:bCs/>
          <w:sz w:val="24"/>
          <w:szCs w:val="24"/>
        </w:rPr>
        <w:t>ABSTRACT</w:t>
      </w:r>
    </w:p>
    <w:p w:rsidR="00743B44" w:rsidRDefault="00743B44" w:rsidP="00744B22">
      <w:pPr>
        <w:spacing w:line="360" w:lineRule="auto"/>
        <w:jc w:val="both"/>
        <w:rPr>
          <w:rFonts w:asciiTheme="majorBidi" w:hAnsiTheme="majorBidi" w:cstheme="majorBidi"/>
          <w:sz w:val="24"/>
          <w:szCs w:val="24"/>
        </w:rPr>
      </w:pPr>
      <w:r w:rsidRPr="00743B44">
        <w:rPr>
          <w:rFonts w:asciiTheme="majorBidi" w:hAnsiTheme="majorBidi" w:cstheme="majorBidi"/>
          <w:sz w:val="24"/>
          <w:szCs w:val="24"/>
        </w:rPr>
        <w:t xml:space="preserve">Moderate or Intense Low–oxygen Diluted (MILD) combustion is a promising technology with important properties such as zero-emission and high efficiency. The biogas-syngas mixture </w:t>
      </w:r>
      <w:proofErr w:type="gramStart"/>
      <w:r w:rsidRPr="00743B44">
        <w:rPr>
          <w:rFonts w:asciiTheme="majorBidi" w:hAnsiTheme="majorBidi" w:cstheme="majorBidi"/>
          <w:sz w:val="24"/>
          <w:szCs w:val="24"/>
        </w:rPr>
        <w:t>is also considered</w:t>
      </w:r>
      <w:proofErr w:type="gramEnd"/>
      <w:r w:rsidRPr="00743B44">
        <w:rPr>
          <w:rFonts w:asciiTheme="majorBidi" w:hAnsiTheme="majorBidi" w:cstheme="majorBidi"/>
          <w:sz w:val="24"/>
          <w:szCs w:val="24"/>
        </w:rPr>
        <w:t xml:space="preserve"> as a promising new renewable biofuel with low emissions. The objective of this work is to examine the effects of several parameters on the flame structure and emissions of biogas-syngas fuel under MILD conditions in JHC (Jet in Hot Co flow) burner. The modified standard k-</w:t>
      </w:r>
      <w:r w:rsidRPr="00743B44">
        <w:rPr>
          <w:rFonts w:asciiTheme="majorBidi" w:hAnsiTheme="majorBidi" w:cstheme="majorBidi"/>
          <w:sz w:val="24"/>
          <w:szCs w:val="24"/>
          <w:lang w:val="fr-FR"/>
        </w:rPr>
        <w:t>ε</w:t>
      </w:r>
      <w:r w:rsidRPr="00743B44">
        <w:rPr>
          <w:rFonts w:asciiTheme="majorBidi" w:hAnsiTheme="majorBidi" w:cstheme="majorBidi"/>
          <w:sz w:val="24"/>
          <w:szCs w:val="24"/>
        </w:rPr>
        <w:t xml:space="preserve"> model </w:t>
      </w:r>
      <w:proofErr w:type="gramStart"/>
      <w:r w:rsidRPr="00743B44">
        <w:rPr>
          <w:rFonts w:asciiTheme="majorBidi" w:hAnsiTheme="majorBidi" w:cstheme="majorBidi"/>
          <w:sz w:val="24"/>
          <w:szCs w:val="24"/>
        </w:rPr>
        <w:t>is adopted</w:t>
      </w:r>
      <w:proofErr w:type="gramEnd"/>
      <w:r w:rsidRPr="00743B44">
        <w:rPr>
          <w:rFonts w:asciiTheme="majorBidi" w:hAnsiTheme="majorBidi" w:cstheme="majorBidi"/>
          <w:sz w:val="24"/>
          <w:szCs w:val="24"/>
        </w:rPr>
        <w:t xml:space="preserve"> for turbulence modeling and the Eddy Dissipation Concept (EDC) model is used with three detailed reaction mechanisms, namely: GRI-</w:t>
      </w:r>
      <w:proofErr w:type="spellStart"/>
      <w:r w:rsidRPr="00743B44">
        <w:rPr>
          <w:rFonts w:asciiTheme="majorBidi" w:hAnsiTheme="majorBidi" w:cstheme="majorBidi"/>
          <w:sz w:val="24"/>
          <w:szCs w:val="24"/>
        </w:rPr>
        <w:t>Mech</w:t>
      </w:r>
      <w:proofErr w:type="spellEnd"/>
      <w:r w:rsidRPr="00743B44">
        <w:rPr>
          <w:rFonts w:asciiTheme="majorBidi" w:hAnsiTheme="majorBidi" w:cstheme="majorBidi"/>
          <w:sz w:val="24"/>
          <w:szCs w:val="24"/>
        </w:rPr>
        <w:t xml:space="preserve"> 3.0, GRI-</w:t>
      </w:r>
      <w:proofErr w:type="spellStart"/>
      <w:r w:rsidRPr="00743B44">
        <w:rPr>
          <w:rFonts w:asciiTheme="majorBidi" w:hAnsiTheme="majorBidi" w:cstheme="majorBidi"/>
          <w:sz w:val="24"/>
          <w:szCs w:val="24"/>
        </w:rPr>
        <w:t>Mech</w:t>
      </w:r>
      <w:proofErr w:type="spellEnd"/>
      <w:r w:rsidRPr="00743B44">
        <w:rPr>
          <w:rFonts w:asciiTheme="majorBidi" w:hAnsiTheme="majorBidi" w:cstheme="majorBidi"/>
          <w:sz w:val="24"/>
          <w:szCs w:val="24"/>
        </w:rPr>
        <w:t xml:space="preserve"> 2.11, and DRM 2.11. Effects of biogas-syngas composition, temperature, and oxygen concentration in the hot </w:t>
      </w:r>
      <w:proofErr w:type="spellStart"/>
      <w:r w:rsidRPr="00743B44">
        <w:rPr>
          <w:rFonts w:asciiTheme="majorBidi" w:hAnsiTheme="majorBidi" w:cstheme="majorBidi"/>
          <w:sz w:val="24"/>
          <w:szCs w:val="24"/>
        </w:rPr>
        <w:t>coflow</w:t>
      </w:r>
      <w:proofErr w:type="spellEnd"/>
      <w:r w:rsidRPr="00743B44">
        <w:rPr>
          <w:rFonts w:asciiTheme="majorBidi" w:hAnsiTheme="majorBidi" w:cstheme="majorBidi"/>
          <w:sz w:val="24"/>
          <w:szCs w:val="24"/>
        </w:rPr>
        <w:t xml:space="preserve"> and Reynolds number of the fuel jet </w:t>
      </w:r>
      <w:proofErr w:type="gramStart"/>
      <w:r w:rsidRPr="00743B44">
        <w:rPr>
          <w:rFonts w:asciiTheme="majorBidi" w:hAnsiTheme="majorBidi" w:cstheme="majorBidi"/>
          <w:sz w:val="24"/>
          <w:szCs w:val="24"/>
        </w:rPr>
        <w:t>have been elucidated</w:t>
      </w:r>
      <w:proofErr w:type="gramEnd"/>
      <w:r w:rsidRPr="00743B44">
        <w:rPr>
          <w:rFonts w:asciiTheme="majorBidi" w:hAnsiTheme="majorBidi" w:cstheme="majorBidi"/>
          <w:sz w:val="24"/>
          <w:szCs w:val="24"/>
        </w:rPr>
        <w:t xml:space="preserve">. Results show that flame structure is more sensitive to the increase of hydrogen in syngas than that of methane in biogas. An increase of temperature and oxygen concentration in the </w:t>
      </w:r>
      <w:proofErr w:type="spellStart"/>
      <w:r w:rsidRPr="00743B44">
        <w:rPr>
          <w:rFonts w:asciiTheme="majorBidi" w:hAnsiTheme="majorBidi" w:cstheme="majorBidi"/>
          <w:sz w:val="24"/>
          <w:szCs w:val="24"/>
        </w:rPr>
        <w:t>coflow</w:t>
      </w:r>
      <w:proofErr w:type="spellEnd"/>
      <w:r w:rsidRPr="00743B44">
        <w:rPr>
          <w:rFonts w:asciiTheme="majorBidi" w:hAnsiTheme="majorBidi" w:cstheme="majorBidi"/>
          <w:sz w:val="24"/>
          <w:szCs w:val="24"/>
        </w:rPr>
        <w:t xml:space="preserve"> stream leads to more NO formation whereas Reynolds number augmentation reduced them. Furthermore, NO species production </w:t>
      </w:r>
      <w:proofErr w:type="gramStart"/>
      <w:r w:rsidRPr="00743B44">
        <w:rPr>
          <w:rFonts w:asciiTheme="majorBidi" w:hAnsiTheme="majorBidi" w:cstheme="majorBidi"/>
          <w:sz w:val="24"/>
          <w:szCs w:val="24"/>
        </w:rPr>
        <w:t>is globally governed</w:t>
      </w:r>
      <w:proofErr w:type="gramEnd"/>
      <w:r w:rsidRPr="00743B44">
        <w:rPr>
          <w:rFonts w:asciiTheme="majorBidi" w:hAnsiTheme="majorBidi" w:cstheme="majorBidi"/>
          <w:sz w:val="24"/>
          <w:szCs w:val="24"/>
        </w:rPr>
        <w:t xml:space="preserve"> by NNH route.</w:t>
      </w:r>
    </w:p>
    <w:p w:rsidR="00D641D1" w:rsidRPr="00D81CF3" w:rsidRDefault="00D641D1" w:rsidP="00D641D1">
      <w:pPr>
        <w:bidi/>
        <w:jc w:val="center"/>
        <w:rPr>
          <w:rFonts w:ascii="Arabic Typesetting" w:hAnsi="Arabic Typesetting" w:cs="Arabic Typesetting"/>
          <w:b/>
          <w:bCs/>
          <w:sz w:val="36"/>
          <w:szCs w:val="36"/>
          <w:lang w:bidi="ar-DZ"/>
        </w:rPr>
      </w:pPr>
      <w:r w:rsidRPr="00D81CF3">
        <w:rPr>
          <w:rFonts w:ascii="Arabic Typesetting" w:hAnsi="Arabic Typesetting" w:cs="Arabic Typesetting"/>
          <w:b/>
          <w:bCs/>
          <w:sz w:val="36"/>
          <w:szCs w:val="36"/>
          <w:rtl/>
          <w:lang w:bidi="ar-DZ"/>
        </w:rPr>
        <w:lastRenderedPageBreak/>
        <w:t>الملخص</w:t>
      </w:r>
    </w:p>
    <w:p w:rsidR="00D641D1" w:rsidRPr="00D81CF3" w:rsidRDefault="00D641D1" w:rsidP="00D641D1">
      <w:pPr>
        <w:bidi/>
        <w:jc w:val="both"/>
        <w:rPr>
          <w:rFonts w:ascii="Arabic Typesetting" w:hAnsi="Arabic Typesetting" w:cs="Arabic Typesetting"/>
          <w:sz w:val="36"/>
          <w:szCs w:val="36"/>
        </w:rPr>
      </w:pPr>
      <w:r w:rsidRPr="00D81CF3">
        <w:rPr>
          <w:rFonts w:ascii="Arabic Typesetting" w:hAnsi="Arabic Typesetting" w:cs="Arabic Typesetting"/>
          <w:sz w:val="36"/>
          <w:szCs w:val="36"/>
          <w:rtl/>
        </w:rPr>
        <w:t xml:space="preserve">يعد الاحتراق المخفف بالأكسجين المنخفض (المعتدل أو المكثف) تقنية واعدة بخصائص مهمة مثل الانبعاث الصفري والكفاءة العالية. يعتبر خليط الغاز الحيوي والغاز </w:t>
      </w:r>
      <w:proofErr w:type="spellStart"/>
      <w:r w:rsidRPr="00D81CF3">
        <w:rPr>
          <w:rFonts w:ascii="Arabic Typesetting" w:hAnsi="Arabic Typesetting" w:cs="Arabic Typesetting"/>
          <w:sz w:val="36"/>
          <w:szCs w:val="36"/>
          <w:rtl/>
        </w:rPr>
        <w:t>التخليقي</w:t>
      </w:r>
      <w:proofErr w:type="spellEnd"/>
      <w:r w:rsidRPr="00D81CF3">
        <w:rPr>
          <w:rFonts w:ascii="Arabic Typesetting" w:hAnsi="Arabic Typesetting" w:cs="Arabic Typesetting"/>
          <w:sz w:val="36"/>
          <w:szCs w:val="36"/>
          <w:rtl/>
        </w:rPr>
        <w:t xml:space="preserve"> أيضًا وقودًا حيويًا متجددًا جديدًا واعدًا مع انبعاثات منخفضة. الهدف من هذا العمل هو فحص تأثيرات العديد من المعلمات على هيكل اللهب وانبعاثات وقود الغاز الحيوي في ظل ظروف</w:t>
      </w:r>
      <w:r w:rsidRPr="00D81CF3">
        <w:rPr>
          <w:rFonts w:ascii="Arabic Typesetting" w:hAnsi="Arabic Typesetting" w:cs="Arabic Typesetting"/>
          <w:sz w:val="36"/>
          <w:szCs w:val="36"/>
        </w:rPr>
        <w:t xml:space="preserve"> MILD </w:t>
      </w:r>
      <w:r w:rsidRPr="00D81CF3">
        <w:rPr>
          <w:rFonts w:ascii="Arabic Typesetting" w:hAnsi="Arabic Typesetting" w:cs="Arabic Typesetting"/>
          <w:sz w:val="36"/>
          <w:szCs w:val="36"/>
          <w:rtl/>
        </w:rPr>
        <w:t>في موقد</w:t>
      </w:r>
      <w:r w:rsidRPr="00D81CF3">
        <w:rPr>
          <w:rFonts w:ascii="Arabic Typesetting" w:hAnsi="Arabic Typesetting" w:cs="Arabic Typesetting"/>
          <w:sz w:val="36"/>
          <w:szCs w:val="36"/>
        </w:rPr>
        <w:t xml:space="preserve"> JHC </w:t>
      </w:r>
      <w:r w:rsidRPr="00D81CF3">
        <w:rPr>
          <w:rFonts w:ascii="Arabic Typesetting" w:hAnsi="Arabic Typesetting" w:cs="Arabic Typesetting"/>
          <w:sz w:val="36"/>
          <w:szCs w:val="36"/>
          <w:rtl/>
        </w:rPr>
        <w:t>(تدفق الغاز الساخن). تم اعتماد نموذج</w:t>
      </w:r>
      <w:r w:rsidRPr="00D81CF3">
        <w:rPr>
          <w:rFonts w:ascii="Arabic Typesetting" w:hAnsi="Arabic Typesetting" w:cs="Arabic Typesetting"/>
          <w:sz w:val="36"/>
          <w:szCs w:val="36"/>
        </w:rPr>
        <w:t xml:space="preserve"> k-</w:t>
      </w:r>
      <w:r w:rsidRPr="00D81CF3">
        <w:rPr>
          <w:rFonts w:ascii="Book Antiqua" w:hAnsi="Book Antiqua" w:cs="Arabic Typesetting"/>
          <w:sz w:val="24"/>
          <w:szCs w:val="24"/>
        </w:rPr>
        <w:t>ε</w:t>
      </w:r>
      <w:r w:rsidRPr="00D81CF3">
        <w:rPr>
          <w:rFonts w:ascii="Arabic Typesetting" w:hAnsi="Arabic Typesetting" w:cs="Arabic Typesetting"/>
          <w:sz w:val="36"/>
          <w:szCs w:val="36"/>
        </w:rPr>
        <w:t xml:space="preserve"> </w:t>
      </w:r>
      <w:r w:rsidRPr="00D81CF3">
        <w:rPr>
          <w:rFonts w:ascii="Arabic Typesetting" w:hAnsi="Arabic Typesetting" w:cs="Arabic Typesetting"/>
          <w:sz w:val="36"/>
          <w:szCs w:val="36"/>
          <w:rtl/>
        </w:rPr>
        <w:t xml:space="preserve">القياسي المعدل </w:t>
      </w:r>
      <w:proofErr w:type="spellStart"/>
      <w:r w:rsidRPr="00D81CF3">
        <w:rPr>
          <w:rFonts w:ascii="Arabic Typesetting" w:hAnsi="Arabic Typesetting" w:cs="Arabic Typesetting"/>
          <w:sz w:val="36"/>
          <w:szCs w:val="36"/>
          <w:rtl/>
        </w:rPr>
        <w:t>لنمذجة</w:t>
      </w:r>
      <w:proofErr w:type="spellEnd"/>
      <w:r w:rsidRPr="00D81CF3">
        <w:rPr>
          <w:rFonts w:ascii="Arabic Typesetting" w:hAnsi="Arabic Typesetting" w:cs="Arabic Typesetting"/>
          <w:sz w:val="36"/>
          <w:szCs w:val="36"/>
          <w:rtl/>
        </w:rPr>
        <w:t xml:space="preserve"> الاضطراب ويستخدم نموذج</w:t>
      </w:r>
      <w:r w:rsidRPr="00D81CF3">
        <w:rPr>
          <w:rFonts w:ascii="Arabic Typesetting" w:hAnsi="Arabic Typesetting" w:cs="Arabic Typesetting"/>
          <w:sz w:val="36"/>
          <w:szCs w:val="36"/>
        </w:rPr>
        <w:t xml:space="preserve"> Eddy Dissipation Concept (EDC) </w:t>
      </w:r>
      <w:r w:rsidRPr="00D81CF3">
        <w:rPr>
          <w:rFonts w:ascii="Arabic Typesetting" w:hAnsi="Arabic Typesetting" w:cs="Arabic Typesetting"/>
          <w:sz w:val="36"/>
          <w:szCs w:val="36"/>
          <w:rtl/>
        </w:rPr>
        <w:t xml:space="preserve">مع ثلاث آليات تفاعل </w:t>
      </w:r>
      <w:r w:rsidRPr="00D81CF3">
        <w:rPr>
          <w:rFonts w:ascii="Arabic Typesetting" w:hAnsi="Arabic Typesetting" w:cs="Arabic Typesetting" w:hint="cs"/>
          <w:sz w:val="36"/>
          <w:szCs w:val="36"/>
          <w:rtl/>
        </w:rPr>
        <w:t>مفصلة،</w:t>
      </w:r>
      <w:r w:rsidRPr="00D81CF3">
        <w:rPr>
          <w:rFonts w:ascii="Arabic Typesetting" w:hAnsi="Arabic Typesetting" w:cs="Arabic Typesetting"/>
          <w:sz w:val="36"/>
          <w:szCs w:val="36"/>
          <w:rtl/>
        </w:rPr>
        <w:t xml:space="preserve"> وهي</w:t>
      </w:r>
      <w:r w:rsidRPr="00D81CF3">
        <w:rPr>
          <w:rFonts w:ascii="Arabic Typesetting" w:hAnsi="Arabic Typesetting" w:cs="Arabic Typesetting"/>
          <w:sz w:val="36"/>
          <w:szCs w:val="36"/>
        </w:rPr>
        <w:t>: GRI-</w:t>
      </w:r>
      <w:proofErr w:type="spellStart"/>
      <w:r w:rsidRPr="00D81CF3">
        <w:rPr>
          <w:rFonts w:ascii="Arabic Typesetting" w:hAnsi="Arabic Typesetting" w:cs="Arabic Typesetting"/>
          <w:sz w:val="36"/>
          <w:szCs w:val="36"/>
        </w:rPr>
        <w:t>Mech</w:t>
      </w:r>
      <w:proofErr w:type="spellEnd"/>
      <w:r w:rsidRPr="00D81CF3">
        <w:rPr>
          <w:rFonts w:ascii="Arabic Typesetting" w:hAnsi="Arabic Typesetting" w:cs="Arabic Typesetting"/>
          <w:sz w:val="36"/>
          <w:szCs w:val="36"/>
        </w:rPr>
        <w:t xml:space="preserve"> 3.0 </w:t>
      </w:r>
      <w:proofErr w:type="gramStart"/>
      <w:r w:rsidRPr="00D81CF3">
        <w:rPr>
          <w:rFonts w:ascii="Arabic Typesetting" w:hAnsi="Arabic Typesetting" w:cs="Arabic Typesetting"/>
          <w:sz w:val="36"/>
          <w:szCs w:val="36"/>
          <w:rtl/>
        </w:rPr>
        <w:t>و</w:t>
      </w:r>
      <w:r w:rsidRPr="00D81CF3">
        <w:rPr>
          <w:rFonts w:ascii="Arabic Typesetting" w:hAnsi="Arabic Typesetting" w:cs="Arabic Typesetting"/>
          <w:sz w:val="36"/>
          <w:szCs w:val="36"/>
        </w:rPr>
        <w:t xml:space="preserve"> GRI</w:t>
      </w:r>
      <w:proofErr w:type="gramEnd"/>
      <w:r w:rsidRPr="00D81CF3">
        <w:rPr>
          <w:rFonts w:ascii="Arabic Typesetting" w:hAnsi="Arabic Typesetting" w:cs="Arabic Typesetting"/>
          <w:sz w:val="36"/>
          <w:szCs w:val="36"/>
        </w:rPr>
        <w:t>-</w:t>
      </w:r>
      <w:proofErr w:type="spellStart"/>
      <w:r w:rsidRPr="00D81CF3">
        <w:rPr>
          <w:rFonts w:ascii="Arabic Typesetting" w:hAnsi="Arabic Typesetting" w:cs="Arabic Typesetting"/>
          <w:sz w:val="36"/>
          <w:szCs w:val="36"/>
        </w:rPr>
        <w:t>Mech</w:t>
      </w:r>
      <w:proofErr w:type="spellEnd"/>
      <w:r w:rsidRPr="00D81CF3">
        <w:rPr>
          <w:rFonts w:ascii="Arabic Typesetting" w:hAnsi="Arabic Typesetting" w:cs="Arabic Typesetting"/>
          <w:sz w:val="36"/>
          <w:szCs w:val="36"/>
        </w:rPr>
        <w:t xml:space="preserve"> 2.11 </w:t>
      </w:r>
      <w:r w:rsidRPr="00D81CF3">
        <w:rPr>
          <w:rFonts w:ascii="Arabic Typesetting" w:hAnsi="Arabic Typesetting" w:cs="Arabic Typesetting"/>
          <w:sz w:val="36"/>
          <w:szCs w:val="36"/>
          <w:rtl/>
        </w:rPr>
        <w:t>و</w:t>
      </w:r>
      <w:r w:rsidRPr="00D81CF3">
        <w:rPr>
          <w:rFonts w:ascii="Arabic Typesetting" w:hAnsi="Arabic Typesetting" w:cs="Arabic Typesetting"/>
          <w:sz w:val="36"/>
          <w:szCs w:val="36"/>
        </w:rPr>
        <w:t xml:space="preserve"> DRM 2.11. </w:t>
      </w:r>
      <w:r w:rsidRPr="00D81CF3">
        <w:rPr>
          <w:rFonts w:ascii="Arabic Typesetting" w:hAnsi="Arabic Typesetting" w:cs="Arabic Typesetting"/>
          <w:sz w:val="36"/>
          <w:szCs w:val="36"/>
          <w:rtl/>
        </w:rPr>
        <w:t xml:space="preserve">تم توضيح تأثيرات تكوين الغاز </w:t>
      </w:r>
      <w:r w:rsidRPr="00D81CF3">
        <w:rPr>
          <w:rFonts w:ascii="Arabic Typesetting" w:hAnsi="Arabic Typesetting" w:cs="Arabic Typesetting" w:hint="cs"/>
          <w:sz w:val="36"/>
          <w:szCs w:val="36"/>
          <w:rtl/>
        </w:rPr>
        <w:t>الحيوي،</w:t>
      </w:r>
      <w:r w:rsidRPr="00D81CF3">
        <w:rPr>
          <w:rFonts w:ascii="Arabic Typesetting" w:hAnsi="Arabic Typesetting" w:cs="Arabic Typesetting"/>
          <w:sz w:val="36"/>
          <w:szCs w:val="36"/>
          <w:rtl/>
        </w:rPr>
        <w:t xml:space="preserve"> ودرجة الحرارة وتركيز الأكسجين </w:t>
      </w:r>
      <w:r w:rsidRPr="00D81CF3">
        <w:rPr>
          <w:rFonts w:ascii="Arabic Typesetting" w:hAnsi="Arabic Typesetting" w:cs="Arabic Typesetting"/>
          <w:sz w:val="36"/>
          <w:szCs w:val="36"/>
          <w:rtl/>
          <w:lang w:bidi="ar-DZ"/>
        </w:rPr>
        <w:t xml:space="preserve">الهواء </w:t>
      </w:r>
      <w:r w:rsidRPr="00D81CF3">
        <w:rPr>
          <w:rFonts w:ascii="Arabic Typesetting" w:hAnsi="Arabic Typesetting" w:cs="Arabic Typesetting"/>
          <w:sz w:val="36"/>
          <w:szCs w:val="36"/>
          <w:rtl/>
        </w:rPr>
        <w:t xml:space="preserve">الساخن وعدد </w:t>
      </w:r>
      <w:proofErr w:type="spellStart"/>
      <w:r w:rsidRPr="00D81CF3">
        <w:rPr>
          <w:rFonts w:ascii="Arabic Typesetting" w:hAnsi="Arabic Typesetting" w:cs="Arabic Typesetting"/>
          <w:sz w:val="36"/>
          <w:szCs w:val="36"/>
          <w:rtl/>
        </w:rPr>
        <w:t>رينولدز</w:t>
      </w:r>
      <w:proofErr w:type="spellEnd"/>
      <w:r w:rsidRPr="00D81CF3">
        <w:rPr>
          <w:rFonts w:ascii="Arabic Typesetting" w:hAnsi="Arabic Typesetting" w:cs="Arabic Typesetting"/>
          <w:sz w:val="36"/>
          <w:szCs w:val="36"/>
          <w:rtl/>
        </w:rPr>
        <w:t xml:space="preserve"> </w:t>
      </w:r>
      <w:r w:rsidRPr="00D81CF3">
        <w:rPr>
          <w:rFonts w:ascii="Arabic Typesetting" w:hAnsi="Arabic Typesetting" w:cs="Arabic Typesetting" w:hint="cs"/>
          <w:sz w:val="36"/>
          <w:szCs w:val="36"/>
          <w:rtl/>
        </w:rPr>
        <w:t>في التدفق</w:t>
      </w:r>
      <w:r w:rsidRPr="00D81CF3">
        <w:rPr>
          <w:rFonts w:ascii="Arabic Typesetting" w:hAnsi="Arabic Typesetting" w:cs="Arabic Typesetting"/>
          <w:sz w:val="36"/>
          <w:szCs w:val="36"/>
          <w:rtl/>
          <w:lang w:bidi="ar-DZ"/>
        </w:rPr>
        <w:t xml:space="preserve"> الخارجي ل</w:t>
      </w:r>
      <w:r w:rsidRPr="00D81CF3">
        <w:rPr>
          <w:rFonts w:ascii="Arabic Typesetting" w:hAnsi="Arabic Typesetting" w:cs="Arabic Typesetting"/>
          <w:sz w:val="36"/>
          <w:szCs w:val="36"/>
          <w:rtl/>
        </w:rPr>
        <w:t xml:space="preserve">غرفة </w:t>
      </w:r>
      <w:r w:rsidRPr="00D81CF3">
        <w:rPr>
          <w:rFonts w:ascii="Arabic Typesetting" w:hAnsi="Arabic Typesetting" w:cs="Arabic Typesetting" w:hint="cs"/>
          <w:sz w:val="36"/>
          <w:szCs w:val="36"/>
          <w:rtl/>
        </w:rPr>
        <w:t>الاحتراق.</w:t>
      </w:r>
      <w:r w:rsidRPr="00D81CF3">
        <w:rPr>
          <w:rFonts w:ascii="Arabic Typesetting" w:hAnsi="Arabic Typesetting" w:cs="Arabic Typesetting"/>
          <w:sz w:val="36"/>
          <w:szCs w:val="36"/>
          <w:rtl/>
        </w:rPr>
        <w:t xml:space="preserve"> أظهرت النتائج أن هيكل اللهب أكثر حساسية لزيادة الهيدروجين في الغاز </w:t>
      </w:r>
      <w:proofErr w:type="spellStart"/>
      <w:r w:rsidRPr="00D81CF3">
        <w:rPr>
          <w:rFonts w:ascii="Arabic Typesetting" w:hAnsi="Arabic Typesetting" w:cs="Arabic Typesetting"/>
          <w:sz w:val="36"/>
          <w:szCs w:val="36"/>
          <w:rtl/>
        </w:rPr>
        <w:t>التخليقي</w:t>
      </w:r>
      <w:proofErr w:type="spellEnd"/>
      <w:r w:rsidRPr="00D81CF3">
        <w:rPr>
          <w:rFonts w:ascii="Arabic Typesetting" w:hAnsi="Arabic Typesetting" w:cs="Arabic Typesetting"/>
          <w:sz w:val="36"/>
          <w:szCs w:val="36"/>
          <w:rtl/>
        </w:rPr>
        <w:t xml:space="preserve"> من الميثان في الغاز الحيوي. تؤدي زيادة درجة الحرارة وتركيز الأكسجين في تيار التدفق المشترك إلى المزيد من تكوين أكسيد النيتروجين بينما تؤدي زيادة عدد </w:t>
      </w:r>
      <w:proofErr w:type="spellStart"/>
      <w:r w:rsidRPr="00D81CF3">
        <w:rPr>
          <w:rFonts w:ascii="Arabic Typesetting" w:hAnsi="Arabic Typesetting" w:cs="Arabic Typesetting"/>
          <w:sz w:val="36"/>
          <w:szCs w:val="36"/>
          <w:rtl/>
        </w:rPr>
        <w:t>رينولدز</w:t>
      </w:r>
      <w:proofErr w:type="spellEnd"/>
      <w:r w:rsidRPr="00D81CF3">
        <w:rPr>
          <w:rFonts w:ascii="Arabic Typesetting" w:hAnsi="Arabic Typesetting" w:cs="Arabic Typesetting"/>
          <w:sz w:val="36"/>
          <w:szCs w:val="36"/>
          <w:rtl/>
        </w:rPr>
        <w:t xml:space="preserve"> إلى تقليلها. علاوة على </w:t>
      </w:r>
      <w:r w:rsidRPr="00D81CF3">
        <w:rPr>
          <w:rFonts w:ascii="Arabic Typesetting" w:hAnsi="Arabic Typesetting" w:cs="Arabic Typesetting" w:hint="cs"/>
          <w:sz w:val="36"/>
          <w:szCs w:val="36"/>
          <w:rtl/>
        </w:rPr>
        <w:t>ذلك،</w:t>
      </w:r>
      <w:r w:rsidRPr="00D81CF3">
        <w:rPr>
          <w:rFonts w:ascii="Arabic Typesetting" w:hAnsi="Arabic Typesetting" w:cs="Arabic Typesetting"/>
          <w:sz w:val="36"/>
          <w:szCs w:val="36"/>
          <w:rtl/>
        </w:rPr>
        <w:t xml:space="preserve"> </w:t>
      </w:r>
      <w:r w:rsidRPr="00D81CF3">
        <w:rPr>
          <w:rFonts w:ascii="Arabic Typesetting" w:hAnsi="Arabic Typesetting" w:cs="Arabic Typesetting" w:hint="cs"/>
          <w:sz w:val="36"/>
          <w:szCs w:val="36"/>
          <w:rtl/>
        </w:rPr>
        <w:t>يخضع إنتاج</w:t>
      </w:r>
      <w:r w:rsidRPr="00D81CF3">
        <w:rPr>
          <w:rFonts w:ascii="Arabic Typesetting" w:hAnsi="Arabic Typesetting" w:cs="Arabic Typesetting"/>
          <w:sz w:val="36"/>
          <w:szCs w:val="36"/>
          <w:rtl/>
        </w:rPr>
        <w:t xml:space="preserve"> </w:t>
      </w:r>
      <w:r w:rsidRPr="00D81CF3">
        <w:rPr>
          <w:rFonts w:ascii="Arabic Typesetting" w:hAnsi="Arabic Typesetting" w:cs="Arabic Typesetting"/>
          <w:sz w:val="36"/>
          <w:szCs w:val="36"/>
          <w:lang w:val="fr-FR"/>
        </w:rPr>
        <w:t>NO</w:t>
      </w:r>
      <w:r w:rsidRPr="00D81CF3">
        <w:rPr>
          <w:rFonts w:ascii="Arabic Typesetting" w:hAnsi="Arabic Typesetting" w:cs="Arabic Typesetting" w:hint="cs"/>
          <w:sz w:val="36"/>
          <w:szCs w:val="36"/>
          <w:rtl/>
        </w:rPr>
        <w:t xml:space="preserve"> </w:t>
      </w:r>
      <w:r w:rsidRPr="00D81CF3">
        <w:rPr>
          <w:rFonts w:ascii="Arabic Typesetting" w:hAnsi="Arabic Typesetting" w:cs="Arabic Typesetting"/>
          <w:sz w:val="36"/>
          <w:szCs w:val="36"/>
          <w:rtl/>
        </w:rPr>
        <w:t>لمسار</w:t>
      </w:r>
      <w:r w:rsidRPr="00D81CF3">
        <w:rPr>
          <w:rFonts w:ascii="Arabic Typesetting" w:hAnsi="Arabic Typesetting" w:cs="Arabic Typesetting"/>
          <w:sz w:val="36"/>
          <w:szCs w:val="36"/>
        </w:rPr>
        <w:t xml:space="preserve"> NNH</w:t>
      </w:r>
      <w:r>
        <w:rPr>
          <w:rFonts w:ascii="Arabic Typesetting" w:hAnsi="Arabic Typesetting" w:cs="Arabic Typesetting"/>
          <w:sz w:val="36"/>
          <w:szCs w:val="36"/>
        </w:rPr>
        <w:t>.</w:t>
      </w:r>
    </w:p>
    <w:p w:rsidR="00D641D1" w:rsidRPr="00D641D1" w:rsidRDefault="00D641D1" w:rsidP="00744B22">
      <w:pPr>
        <w:spacing w:line="360" w:lineRule="auto"/>
        <w:jc w:val="both"/>
        <w:rPr>
          <w:rFonts w:asciiTheme="majorBidi" w:hAnsiTheme="majorBidi" w:cstheme="majorBidi"/>
          <w:sz w:val="24"/>
          <w:szCs w:val="24"/>
          <w:rtl/>
        </w:rPr>
      </w:pPr>
    </w:p>
    <w:sectPr w:rsidR="00D641D1" w:rsidRPr="00D641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B22"/>
    <w:rsid w:val="006410C7"/>
    <w:rsid w:val="00743B44"/>
    <w:rsid w:val="00744B22"/>
    <w:rsid w:val="0099371F"/>
    <w:rsid w:val="00BC1052"/>
    <w:rsid w:val="00D641D1"/>
    <w:rsid w:val="00E6049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7CDBF4-0933-4AF2-8033-E50BEE8D5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99371F"/>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9371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514</Words>
  <Characters>2935</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R1</dc:creator>
  <cp:keywords/>
  <dc:description/>
  <cp:lastModifiedBy>R1</cp:lastModifiedBy>
  <cp:revision>2</cp:revision>
  <cp:lastPrinted>2022-03-29T10:49:00Z</cp:lastPrinted>
  <dcterms:created xsi:type="dcterms:W3CDTF">2022-03-29T10:31:00Z</dcterms:created>
  <dcterms:modified xsi:type="dcterms:W3CDTF">2022-03-29T10:49:00Z</dcterms:modified>
</cp:coreProperties>
</file>