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3209" w:rsidRPr="006211A4" w:rsidRDefault="006211A4" w:rsidP="006211A4">
      <w:pPr>
        <w:bidi/>
        <w:spacing w:after="0" w:line="180" w:lineRule="auto"/>
        <w:jc w:val="both"/>
        <w:rPr>
          <w:rFonts w:ascii="Sakkal Majalla" w:hAnsi="Sakkal Majalla" w:cs="DecoType Naskh"/>
          <w:b/>
          <w:bCs/>
          <w:sz w:val="36"/>
          <w:szCs w:val="36"/>
          <w:rtl/>
          <w:lang w:bidi="ar-DZ"/>
        </w:rPr>
      </w:pPr>
      <w:bookmarkStart w:id="0" w:name="_GoBack"/>
      <w:bookmarkEnd w:id="0"/>
      <w:r w:rsidRPr="006211A4">
        <w:rPr>
          <w:rFonts w:ascii="Sakkal Majalla" w:hAnsi="Sakkal Majalla" w:cs="DecoType Naskh" w:hint="cs"/>
          <w:sz w:val="36"/>
          <w:szCs w:val="36"/>
          <w:rtl/>
          <w:lang w:bidi="ar-DZ"/>
        </w:rPr>
        <w:t>هدفت</w:t>
      </w:r>
      <w:r w:rsidR="00B037F8" w:rsidRPr="006211A4">
        <w:rPr>
          <w:rFonts w:ascii="Sakkal Majalla" w:hAnsi="Sakkal Majalla" w:cs="DecoType Naskh"/>
          <w:sz w:val="36"/>
          <w:szCs w:val="36"/>
          <w:rtl/>
          <w:lang w:bidi="ar-DZ"/>
        </w:rPr>
        <w:t xml:space="preserve"> هذه الدراسة إلى تحليل وقياس أثر</w:t>
      </w:r>
      <w:r w:rsidR="0001524E" w:rsidRPr="006211A4">
        <w:rPr>
          <w:rFonts w:ascii="Sakkal Majalla" w:hAnsi="Sakkal Majalla" w:cs="DecoType Naskh" w:hint="cs"/>
          <w:sz w:val="36"/>
          <w:szCs w:val="36"/>
          <w:rtl/>
          <w:lang w:bidi="ar-DZ"/>
        </w:rPr>
        <w:t xml:space="preserve"> الاستثمار في القطاع الصناعي على النمو الاقتصادي</w:t>
      </w:r>
      <w:r w:rsidR="00B037F8" w:rsidRPr="006211A4">
        <w:rPr>
          <w:rFonts w:ascii="Sakkal Majalla" w:hAnsi="Sakkal Majalla" w:cs="DecoType Naskh"/>
          <w:sz w:val="36"/>
          <w:szCs w:val="36"/>
          <w:rtl/>
          <w:lang w:bidi="ar-DZ"/>
        </w:rPr>
        <w:t xml:space="preserve"> ف</w:t>
      </w:r>
      <w:r w:rsidR="00622942" w:rsidRPr="006211A4">
        <w:rPr>
          <w:rFonts w:ascii="Sakkal Majalla" w:hAnsi="Sakkal Majalla" w:cs="DecoType Naskh"/>
          <w:sz w:val="36"/>
          <w:szCs w:val="36"/>
          <w:rtl/>
          <w:lang w:bidi="ar-DZ"/>
        </w:rPr>
        <w:t xml:space="preserve">ي الجزائر خلال الفترة </w:t>
      </w:r>
      <w:r w:rsidR="00622942" w:rsidRPr="006211A4">
        <w:rPr>
          <w:rFonts w:ascii="Sakkal Majalla" w:hAnsi="Sakkal Majalla" w:cs="DecoType Naskh" w:hint="cs"/>
          <w:sz w:val="36"/>
          <w:szCs w:val="36"/>
          <w:rtl/>
          <w:lang w:bidi="ar-DZ"/>
        </w:rPr>
        <w:t>"2000-2016"</w:t>
      </w:r>
      <w:r w:rsidR="00B037F8" w:rsidRPr="006211A4">
        <w:rPr>
          <w:rFonts w:ascii="Sakkal Majalla" w:hAnsi="Sakkal Majalla" w:cs="DecoType Naskh"/>
          <w:sz w:val="36"/>
          <w:szCs w:val="36"/>
          <w:rtl/>
          <w:lang w:bidi="ar-DZ"/>
        </w:rPr>
        <w:t xml:space="preserve"> </w:t>
      </w:r>
      <w:r w:rsidR="0001524E" w:rsidRPr="006211A4">
        <w:rPr>
          <w:rFonts w:ascii="Sakkal Majalla" w:hAnsi="Sakkal Majalla" w:cs="DecoType Naskh" w:hint="cs"/>
          <w:sz w:val="36"/>
          <w:szCs w:val="36"/>
          <w:rtl/>
          <w:lang w:bidi="ar-DZ"/>
        </w:rPr>
        <w:t>وتضمنت الدراسة الاطار الفكري للاستثمار</w:t>
      </w:r>
      <w:r w:rsidR="003257A9" w:rsidRPr="006211A4">
        <w:rPr>
          <w:rFonts w:ascii="Sakkal Majalla" w:hAnsi="Sakkal Majalla" w:cs="DecoType Naskh" w:hint="cs"/>
          <w:sz w:val="36"/>
          <w:szCs w:val="36"/>
          <w:rtl/>
          <w:lang w:bidi="ar-DZ"/>
        </w:rPr>
        <w:t>، والذي</w:t>
      </w:r>
      <w:r w:rsidR="0001524E" w:rsidRPr="006211A4">
        <w:rPr>
          <w:rFonts w:ascii="Sakkal Majalla" w:hAnsi="Sakkal Majalla" w:cs="DecoType Naskh" w:hint="cs"/>
          <w:sz w:val="36"/>
          <w:szCs w:val="36"/>
          <w:rtl/>
          <w:lang w:bidi="ar-DZ"/>
        </w:rPr>
        <w:t xml:space="preserve"> يبرز اختلاف وجهات النظر في التحليل بين الم</w:t>
      </w:r>
      <w:r w:rsidR="001A6B56" w:rsidRPr="006211A4">
        <w:rPr>
          <w:rFonts w:ascii="Sakkal Majalla" w:hAnsi="Sakkal Majalla" w:cs="DecoType Naskh" w:hint="cs"/>
          <w:sz w:val="36"/>
          <w:szCs w:val="36"/>
          <w:rtl/>
          <w:lang w:bidi="ar-DZ"/>
        </w:rPr>
        <w:t>د</w:t>
      </w:r>
      <w:r w:rsidR="0001524E" w:rsidRPr="006211A4">
        <w:rPr>
          <w:rFonts w:ascii="Sakkal Majalla" w:hAnsi="Sakkal Majalla" w:cs="DecoType Naskh" w:hint="cs"/>
          <w:sz w:val="36"/>
          <w:szCs w:val="36"/>
          <w:rtl/>
          <w:lang w:bidi="ar-DZ"/>
        </w:rPr>
        <w:t xml:space="preserve">ارس الاقتصادية، كما تطرقت الدراسة </w:t>
      </w:r>
      <w:r>
        <w:rPr>
          <w:rFonts w:ascii="Sakkal Majalla" w:hAnsi="Sakkal Majalla" w:cs="DecoType Naskh" w:hint="cs"/>
          <w:sz w:val="36"/>
          <w:szCs w:val="36"/>
          <w:rtl/>
          <w:lang w:bidi="ar-DZ"/>
        </w:rPr>
        <w:t>ل</w:t>
      </w:r>
      <w:r w:rsidR="001A6B56" w:rsidRPr="006211A4">
        <w:rPr>
          <w:rFonts w:ascii="Sakkal Majalla" w:hAnsi="Sakkal Majalla" w:cs="DecoType Naskh" w:hint="cs"/>
          <w:sz w:val="36"/>
          <w:szCs w:val="36"/>
          <w:rtl/>
          <w:lang w:bidi="ar-DZ"/>
        </w:rPr>
        <w:t>دور التدفقات الاستثمارية في دعم النمو الاقتصادي ومساهمتها في التنمية الاقتصادية، بالاضافة للمحددات التي تقيد متغير الاستثمار بطريقة مباشرة، وكذا أسواق الاستثم</w:t>
      </w:r>
      <w:r>
        <w:rPr>
          <w:rFonts w:ascii="Sakkal Majalla" w:hAnsi="Sakkal Majalla" w:cs="DecoType Naskh" w:hint="cs"/>
          <w:sz w:val="36"/>
          <w:szCs w:val="36"/>
          <w:rtl/>
          <w:lang w:bidi="ar-DZ"/>
        </w:rPr>
        <w:t>ار وأهم الأدوات المتداولة ضمنها</w:t>
      </w:r>
      <w:r w:rsidR="001A6B56" w:rsidRPr="006211A4">
        <w:rPr>
          <w:rFonts w:ascii="Sakkal Majalla" w:hAnsi="Sakkal Majalla" w:cs="DecoType Naskh" w:hint="cs"/>
          <w:sz w:val="36"/>
          <w:szCs w:val="36"/>
          <w:rtl/>
          <w:lang w:bidi="ar-DZ"/>
        </w:rPr>
        <w:t>.</w:t>
      </w:r>
      <w:r w:rsidR="0002259D" w:rsidRPr="006211A4">
        <w:rPr>
          <w:rFonts w:ascii="Sakkal Majalla" w:hAnsi="Sakkal Majalla" w:cs="DecoType Naskh"/>
          <w:sz w:val="36"/>
          <w:szCs w:val="36"/>
          <w:lang w:bidi="ar-DZ"/>
        </w:rPr>
        <w:t xml:space="preserve"> </w:t>
      </w:r>
      <w:r w:rsidR="0002259D" w:rsidRPr="006211A4">
        <w:rPr>
          <w:rFonts w:ascii="Sakkal Majalla" w:hAnsi="Sakkal Majalla" w:cs="DecoType Naskh" w:hint="cs"/>
          <w:sz w:val="36"/>
          <w:szCs w:val="36"/>
          <w:rtl/>
          <w:lang w:bidi="ar-DZ"/>
        </w:rPr>
        <w:t xml:space="preserve"> كما شكلت الصناعة منطلق للفكر التنموي خلال القرن العشرين، حيث انتهجت العديد من الدول النامية سبيل التطور التقني من خلال سعيها لتجسيد استراتيجيات التصنيع وتأسيس قاعدة صناعية تسمح لها بولوج مراحل التنمية الاقتصادية؛ ومن ناحية أخرى يوفر النمو الاقتصادي </w:t>
      </w:r>
      <w:r>
        <w:rPr>
          <w:rFonts w:ascii="Sakkal Majalla" w:hAnsi="Sakkal Majalla" w:cs="DecoType Naskh" w:hint="cs"/>
          <w:sz w:val="36"/>
          <w:szCs w:val="36"/>
          <w:rtl/>
          <w:lang w:bidi="ar-DZ"/>
        </w:rPr>
        <w:t>محور</w:t>
      </w:r>
      <w:r w:rsidR="0002259D" w:rsidRPr="006211A4">
        <w:rPr>
          <w:rFonts w:ascii="Sakkal Majalla" w:hAnsi="Sakkal Majalla" w:cs="DecoType Naskh" w:hint="cs"/>
          <w:sz w:val="36"/>
          <w:szCs w:val="36"/>
          <w:rtl/>
          <w:lang w:bidi="ar-DZ"/>
        </w:rPr>
        <w:t xml:space="preserve"> لتباين التوجهات الفكرية للمدارس الاقتصادية، حيث ركز الكلاسيكيون في تحليلهم للنمو الاقتصادي على ضرورة التراكم الرأسمالي وتنمية الدخل الوطني، في حين أن المقاربات الحديثة تسعى من خلال تحقيق النمو الاقتصادي لتحييد المتغيرات الاجتماعية السلبية وتصحيح الاختلالات الاقتصادية على المستوى الكلي.</w:t>
      </w:r>
      <w:r>
        <w:rPr>
          <w:rFonts w:ascii="Sakkal Majalla" w:hAnsi="Sakkal Majalla" w:cs="DecoType Naskh" w:hint="cs"/>
          <w:b/>
          <w:bCs/>
          <w:sz w:val="36"/>
          <w:szCs w:val="36"/>
          <w:rtl/>
          <w:lang w:bidi="ar-DZ"/>
        </w:rPr>
        <w:t xml:space="preserve"> </w:t>
      </w:r>
      <w:r w:rsidR="00253209" w:rsidRPr="006211A4">
        <w:rPr>
          <w:rFonts w:ascii="Sakkal Majalla" w:hAnsi="Sakkal Majalla" w:cs="DecoType Naskh" w:hint="cs"/>
          <w:sz w:val="36"/>
          <w:szCs w:val="36"/>
          <w:rtl/>
          <w:lang w:bidi="ar-DZ"/>
        </w:rPr>
        <w:t xml:space="preserve">يعكس الجانب التحليلي للدراسة سعي الحكومة الجزائرية لتفعيل العملية الاستثمارية وذلك من خلال التعديلات المتوالية التي مست المنظومة </w:t>
      </w:r>
      <w:r>
        <w:rPr>
          <w:rFonts w:ascii="Sakkal Majalla" w:hAnsi="Sakkal Majalla" w:cs="DecoType Naskh" w:hint="cs"/>
          <w:sz w:val="36"/>
          <w:szCs w:val="36"/>
          <w:rtl/>
          <w:lang w:bidi="ar-DZ"/>
        </w:rPr>
        <w:t>القانونية والتشريعية للاستثمار</w:t>
      </w:r>
      <w:r w:rsidR="00253209" w:rsidRPr="006211A4">
        <w:rPr>
          <w:rFonts w:ascii="Sakkal Majalla" w:hAnsi="Sakkal Majalla" w:cs="DecoType Naskh" w:hint="cs"/>
          <w:sz w:val="36"/>
          <w:szCs w:val="36"/>
          <w:rtl/>
          <w:lang w:bidi="ar-DZ"/>
        </w:rPr>
        <w:t>، غير أن مناخ الاستثمار في الاقتصاد الوطني لا يزال يتضمن مركبات نفور للمستثمر خاصة الأجنبي، ما يطرح اشكالية فعالية وضع وتفعيل استراتيجية ترقية الاستثمار</w:t>
      </w:r>
      <w:r w:rsidR="001B011D" w:rsidRPr="006211A4">
        <w:rPr>
          <w:rFonts w:ascii="Sakkal Majalla" w:hAnsi="Sakkal Majalla" w:cs="DecoType Naskh" w:hint="cs"/>
          <w:sz w:val="36"/>
          <w:szCs w:val="36"/>
          <w:rtl/>
          <w:lang w:bidi="ar-DZ"/>
        </w:rPr>
        <w:t>، كما خلصت الدراسة إلى أن الاستثمار</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في</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القطاع</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الصناعي يتطلب تحديد القطاعات التي تتضمن امكانية تحقيق الميزة التنافسية لمخرجاتها، وأن قطاع الخدمات يشكل المنفذ شبه الوحيد لرأس</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المال</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المستثمر</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للقطاع</w:t>
      </w:r>
      <w:r w:rsidR="001B011D" w:rsidRPr="006211A4">
        <w:rPr>
          <w:rFonts w:ascii="Sakkal Majalla" w:hAnsi="Sakkal Majalla" w:cs="DecoType Naskh"/>
          <w:sz w:val="36"/>
          <w:szCs w:val="36"/>
          <w:rtl/>
          <w:lang w:bidi="ar-DZ"/>
        </w:rPr>
        <w:t xml:space="preserve"> </w:t>
      </w:r>
      <w:r w:rsidR="001B011D" w:rsidRPr="006211A4">
        <w:rPr>
          <w:rFonts w:ascii="Sakkal Majalla" w:hAnsi="Sakkal Majalla" w:cs="DecoType Naskh" w:hint="cs"/>
          <w:sz w:val="36"/>
          <w:szCs w:val="36"/>
          <w:rtl/>
          <w:lang w:bidi="ar-DZ"/>
        </w:rPr>
        <w:t>الخاص</w:t>
      </w:r>
      <w:r w:rsidR="00253209" w:rsidRPr="006211A4">
        <w:rPr>
          <w:rFonts w:ascii="Sakkal Majalla" w:hAnsi="Sakkal Majalla" w:cs="DecoType Naskh" w:hint="cs"/>
          <w:sz w:val="36"/>
          <w:szCs w:val="36"/>
          <w:rtl/>
          <w:lang w:bidi="ar-DZ"/>
        </w:rPr>
        <w:t>؛ ومن ناحية أخرى</w:t>
      </w:r>
      <w:r w:rsidR="001B011D" w:rsidRPr="006211A4">
        <w:rPr>
          <w:rFonts w:ascii="Sakkal Majalla" w:hAnsi="Sakkal Majalla" w:cs="DecoType Naskh" w:hint="cs"/>
          <w:sz w:val="36"/>
          <w:szCs w:val="36"/>
          <w:rtl/>
          <w:lang w:bidi="ar-DZ"/>
        </w:rPr>
        <w:t xml:space="preserve"> خلصت الدراسة إلى أن مساهمة القيمة المضافة للقطاع الصناعي العمومي في الناتج الداخلي الخام لم تتجاوز </w:t>
      </w:r>
      <w:r>
        <w:rPr>
          <w:rFonts w:ascii="Sakkal Majalla" w:hAnsi="Sakkal Majalla" w:cs="DecoType Naskh" w:hint="cs"/>
          <w:sz w:val="36"/>
          <w:szCs w:val="36"/>
          <w:rtl/>
          <w:lang w:bidi="ar-DZ"/>
        </w:rPr>
        <w:t>7.5</w:t>
      </w:r>
      <w:r w:rsidR="001B011D" w:rsidRPr="006211A4">
        <w:rPr>
          <w:rFonts w:ascii="Sakkal Majalla" w:hAnsi="Sakkal Majalla" w:cs="DecoType Naskh"/>
          <w:sz w:val="36"/>
          <w:szCs w:val="36"/>
          <w:lang w:bidi="ar-DZ"/>
        </w:rPr>
        <w:t xml:space="preserve">% </w:t>
      </w:r>
      <w:r>
        <w:rPr>
          <w:rFonts w:ascii="Sakkal Majalla" w:hAnsi="Sakkal Majalla" w:cs="DecoType Naskh" w:hint="cs"/>
          <w:sz w:val="36"/>
          <w:szCs w:val="36"/>
          <w:rtl/>
          <w:lang w:bidi="ar-DZ"/>
        </w:rPr>
        <w:t xml:space="preserve"> وذلك طيلة فترة الدراسة؛</w:t>
      </w:r>
      <w:r w:rsidR="001B011D" w:rsidRPr="006211A4">
        <w:rPr>
          <w:rFonts w:ascii="Sakkal Majalla" w:hAnsi="Sakkal Majalla" w:cs="DecoType Naskh" w:hint="cs"/>
          <w:sz w:val="36"/>
          <w:szCs w:val="36"/>
          <w:rtl/>
          <w:lang w:bidi="ar-DZ"/>
        </w:rPr>
        <w:t xml:space="preserve"> </w:t>
      </w:r>
      <w:r>
        <w:rPr>
          <w:rFonts w:ascii="Sakkal Majalla" w:hAnsi="Sakkal Majalla" w:cs="DecoType Naskh" w:hint="cs"/>
          <w:sz w:val="36"/>
          <w:szCs w:val="36"/>
          <w:rtl/>
          <w:lang w:bidi="ar-DZ"/>
        </w:rPr>
        <w:t xml:space="preserve">كما توصلت </w:t>
      </w:r>
      <w:r w:rsidR="00C92928" w:rsidRPr="006211A4">
        <w:rPr>
          <w:rFonts w:ascii="Sakkal Majalla" w:hAnsi="Sakkal Majalla" w:cs="DecoType Naskh"/>
          <w:sz w:val="36"/>
          <w:szCs w:val="36"/>
          <w:rtl/>
          <w:lang w:bidi="ar-DZ"/>
        </w:rPr>
        <w:t xml:space="preserve">الدراسة </w:t>
      </w:r>
      <w:r w:rsidR="00C92928" w:rsidRPr="006211A4">
        <w:rPr>
          <w:rFonts w:ascii="Sakkal Majalla" w:hAnsi="Sakkal Majalla" w:cs="DecoType Naskh" w:hint="cs"/>
          <w:sz w:val="36"/>
          <w:szCs w:val="36"/>
          <w:rtl/>
          <w:lang w:bidi="ar-DZ"/>
        </w:rPr>
        <w:t>القياسية إلى عدم معنوية أثر الاستثمار العمومي في القطاع الصنا</w:t>
      </w:r>
      <w:r w:rsidR="0056113F" w:rsidRPr="006211A4">
        <w:rPr>
          <w:rFonts w:ascii="Sakkal Majalla" w:hAnsi="Sakkal Majalla" w:cs="DecoType Naskh" w:hint="cs"/>
          <w:sz w:val="36"/>
          <w:szCs w:val="36"/>
          <w:rtl/>
          <w:lang w:bidi="ar-DZ"/>
        </w:rPr>
        <w:t>عي على نمو الاقتصاد الوطني  خلال الفترة "2000-2016"، في حين كشفت دوال الاستجابة إلى وجود أثر للمتغير المستقل على نمو الناتج الداخلي الخام خلال الفترة "2017-2021".</w:t>
      </w:r>
    </w:p>
    <w:p w:rsidR="00B037F8" w:rsidRPr="006211A4" w:rsidRDefault="003B7FD8" w:rsidP="006211A4">
      <w:pPr>
        <w:bidi/>
        <w:spacing w:after="0" w:line="180" w:lineRule="auto"/>
        <w:jc w:val="both"/>
        <w:rPr>
          <w:rFonts w:ascii="Sakkal Majalla" w:hAnsi="Sakkal Majalla" w:cs="DecoType Naskh"/>
          <w:b/>
          <w:bCs/>
          <w:sz w:val="36"/>
          <w:szCs w:val="36"/>
          <w:lang w:bidi="ar-DZ"/>
        </w:rPr>
      </w:pPr>
      <w:r w:rsidRPr="006211A4">
        <w:rPr>
          <w:rFonts w:ascii="Sakkal Majalla" w:hAnsi="Sakkal Majalla" w:cs="DecoType Naskh" w:hint="cs"/>
          <w:b/>
          <w:bCs/>
          <w:sz w:val="36"/>
          <w:szCs w:val="36"/>
          <w:rtl/>
          <w:lang w:bidi="ar-DZ"/>
        </w:rPr>
        <w:t xml:space="preserve">. </w:t>
      </w:r>
      <w:r w:rsidR="00B037F8" w:rsidRPr="006211A4">
        <w:rPr>
          <w:rFonts w:ascii="Sakkal Majalla" w:hAnsi="Sakkal Majalla" w:cs="DecoType Naskh"/>
          <w:b/>
          <w:bCs/>
          <w:sz w:val="36"/>
          <w:szCs w:val="36"/>
          <w:rtl/>
          <w:lang w:bidi="ar-DZ"/>
        </w:rPr>
        <w:t xml:space="preserve">الكلمات المفتاحية: </w:t>
      </w:r>
      <w:r w:rsidR="0001524E" w:rsidRPr="006211A4">
        <w:rPr>
          <w:rFonts w:ascii="Sakkal Majalla" w:hAnsi="Sakkal Majalla" w:cs="DecoType Naskh" w:hint="cs"/>
          <w:b/>
          <w:bCs/>
          <w:sz w:val="36"/>
          <w:szCs w:val="36"/>
          <w:rtl/>
          <w:lang w:bidi="ar-DZ"/>
        </w:rPr>
        <w:t>الاستثمار، الصناعة، النمو الاقتصادي، التكامل المشترك، نموذج الانحدار الذاتي الموجه.</w:t>
      </w:r>
    </w:p>
    <w:p w:rsidR="00817425" w:rsidRPr="006211A4" w:rsidRDefault="001B5AF1" w:rsidP="006211A4">
      <w:pPr>
        <w:jc w:val="both"/>
        <w:rPr>
          <w:sz w:val="24"/>
          <w:szCs w:val="24"/>
        </w:rPr>
      </w:pPr>
    </w:p>
    <w:sectPr w:rsidR="00817425" w:rsidRPr="006211A4" w:rsidSect="008B4609">
      <w:headerReference w:type="default" r:id="rId6"/>
      <w:footerReference w:type="default" r:id="rId7"/>
      <w:pgSz w:w="11906" w:h="16838"/>
      <w:pgMar w:top="1134" w:right="1134" w:bottom="1134" w:left="1134" w:header="708" w:footer="708" w:gutter="0"/>
      <w:pgBorders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pgNumType w:start="37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5AF1" w:rsidRDefault="001B5AF1" w:rsidP="006211A4">
      <w:pPr>
        <w:spacing w:after="0" w:line="240" w:lineRule="auto"/>
      </w:pPr>
      <w:r>
        <w:separator/>
      </w:r>
    </w:p>
  </w:endnote>
  <w:endnote w:type="continuationSeparator" w:id="0">
    <w:p w:rsidR="001B5AF1" w:rsidRDefault="001B5AF1" w:rsidP="006211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DecoType Naskh Variants">
    <w:panose1 w:val="00000000000000000000"/>
    <w:charset w:val="B2"/>
    <w:family w:val="auto"/>
    <w:pitch w:val="variable"/>
    <w:sig w:usb0="00002001" w:usb1="80000000" w:usb2="00000008" w:usb3="00000000" w:csb0="0000004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DecoType Naskh">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3132029"/>
      <w:docPartObj>
        <w:docPartGallery w:val="Page Numbers (Bottom of Page)"/>
        <w:docPartUnique/>
      </w:docPartObj>
    </w:sdtPr>
    <w:sdtEndPr>
      <w:rPr>
        <w:noProof/>
      </w:rPr>
    </w:sdtEndPr>
    <w:sdtContent>
      <w:p w:rsidR="006211A4" w:rsidRDefault="006211A4">
        <w:pPr>
          <w:pStyle w:val="Footer"/>
          <w:jc w:val="center"/>
        </w:pPr>
        <w:r>
          <w:rPr>
            <w:noProof/>
            <w:lang w:val="fr-BE" w:eastAsia="fr-BE"/>
          </w:rPr>
          <mc:AlternateContent>
            <mc:Choice Requires="wps">
              <w:drawing>
                <wp:inline distT="0" distB="0" distL="0" distR="0">
                  <wp:extent cx="5467350" cy="54610"/>
                  <wp:effectExtent l="9525" t="19050" r="9525" b="12065"/>
                  <wp:docPr id="1" name="Flowchart: Decision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2C30D51C" id="_x0000_t110" coordsize="21600,21600" o:spt="110" path="m10800,l,10800,10800,21600,21600,10800xe">
                  <v:stroke joinstyle="miter"/>
                  <v:path gradientshapeok="t" o:connecttype="rect" textboxrect="5400,5400,16200,16200"/>
                </v:shapetype>
                <v:shape id="Flowchart: Decision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" fillcolor="black">
                  <w10:anchorlock/>
                </v:shape>
              </w:pict>
            </mc:Fallback>
          </mc:AlternateContent>
        </w:r>
      </w:p>
      <w:p w:rsidR="006211A4" w:rsidRDefault="006211A4">
        <w:pPr>
          <w:pStyle w:val="Footer"/>
          <w:jc w:val="center"/>
        </w:pPr>
        <w:r>
          <w:fldChar w:fldCharType="begin"/>
        </w:r>
        <w:r>
          <w:instrText xml:space="preserve"> PAGE    \* MERGEFORMAT </w:instrText>
        </w:r>
        <w:r>
          <w:fldChar w:fldCharType="separate"/>
        </w:r>
        <w:r w:rsidR="008B4609">
          <w:rPr>
            <w:noProof/>
          </w:rPr>
          <w:t>370</w:t>
        </w:r>
        <w:r>
          <w:rPr>
            <w:noProof/>
          </w:rPr>
          <w:fldChar w:fldCharType="end"/>
        </w:r>
      </w:p>
    </w:sdtContent>
  </w:sdt>
  <w:p w:rsidR="006211A4" w:rsidRDefault="006211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5AF1" w:rsidRDefault="001B5AF1" w:rsidP="006211A4">
      <w:pPr>
        <w:spacing w:after="0" w:line="240" w:lineRule="auto"/>
      </w:pPr>
      <w:r>
        <w:separator/>
      </w:r>
    </w:p>
  </w:footnote>
  <w:footnote w:type="continuationSeparator" w:id="0">
    <w:p w:rsidR="001B5AF1" w:rsidRDefault="001B5AF1" w:rsidP="006211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18" w:type="dxa"/>
      <w:tblInd w:w="-426"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0218"/>
    </w:tblGrid>
    <w:tr w:rsidR="006211A4" w:rsidTr="002B0F04">
      <w:tc>
        <w:tcPr>
          <w:tcW w:w="10218" w:type="dxa"/>
          <w:tcBorders>
            <w:top w:val="single" w:sz="18" w:space="0" w:color="auto"/>
            <w:left w:val="nil"/>
            <w:bottom w:val="single" w:sz="18" w:space="0" w:color="auto"/>
            <w:right w:val="nil"/>
          </w:tcBorders>
          <w:shd w:val="clear" w:color="auto" w:fill="BFBFBF" w:themeFill="background1" w:themeFillShade="BF"/>
          <w:hideMark/>
        </w:tcPr>
        <w:p w:rsidR="006211A4" w:rsidRDefault="006211A4" w:rsidP="006211A4">
          <w:pPr>
            <w:pStyle w:val="Header"/>
            <w:jc w:val="center"/>
            <w:rPr>
              <w:b/>
              <w:bCs/>
              <w:sz w:val="36"/>
              <w:szCs w:val="36"/>
            </w:rPr>
          </w:pPr>
          <w:r>
            <w:rPr>
              <w:rFonts w:hint="cs"/>
              <w:b/>
              <w:bCs/>
              <w:sz w:val="36"/>
              <w:szCs w:val="36"/>
              <w:rtl/>
            </w:rPr>
            <w:t>.</w:t>
          </w:r>
          <w:r w:rsidRPr="006211A4">
            <w:rPr>
              <w:rFonts w:ascii="Andalus" w:hAnsi="Andalus" w:cs="DecoType Naskh Variants" w:hint="cs"/>
              <w:b/>
              <w:bCs/>
              <w:sz w:val="36"/>
              <w:szCs w:val="36"/>
              <w:rtl/>
            </w:rPr>
            <w:t>الملخص</w:t>
          </w:r>
          <w:r>
            <w:rPr>
              <w:rFonts w:hint="cs"/>
              <w:b/>
              <w:bCs/>
              <w:sz w:val="36"/>
              <w:szCs w:val="36"/>
              <w:rtl/>
            </w:rPr>
            <w:t>.</w:t>
          </w:r>
        </w:p>
      </w:tc>
    </w:tr>
  </w:tbl>
  <w:p w:rsidR="006211A4" w:rsidRDefault="006211A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E58"/>
    <w:rsid w:val="0001524E"/>
    <w:rsid w:val="0002259D"/>
    <w:rsid w:val="001A6B56"/>
    <w:rsid w:val="001B011D"/>
    <w:rsid w:val="001B5AF1"/>
    <w:rsid w:val="00253209"/>
    <w:rsid w:val="003257A9"/>
    <w:rsid w:val="00354499"/>
    <w:rsid w:val="003A1143"/>
    <w:rsid w:val="003B7FD8"/>
    <w:rsid w:val="003C4C3B"/>
    <w:rsid w:val="0056113F"/>
    <w:rsid w:val="005D494B"/>
    <w:rsid w:val="006211A4"/>
    <w:rsid w:val="00622942"/>
    <w:rsid w:val="006E7FEA"/>
    <w:rsid w:val="007B3EE3"/>
    <w:rsid w:val="008B4609"/>
    <w:rsid w:val="00984152"/>
    <w:rsid w:val="00B037F8"/>
    <w:rsid w:val="00B17CD2"/>
    <w:rsid w:val="00B73DD3"/>
    <w:rsid w:val="00C92928"/>
    <w:rsid w:val="00CF478E"/>
    <w:rsid w:val="00D05DAA"/>
    <w:rsid w:val="00F07E58"/>
    <w:rsid w:val="00F11C85"/>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EE972EC-7E4B-4D29-8369-28EBE7E6D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ecoType Naskh Variants"/>
        <w:sz w:val="24"/>
        <w:szCs w:val="24"/>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37F8"/>
    <w:rPr>
      <w:rFonts w:cstheme="minorBidi"/>
      <w:sz w:val="22"/>
      <w:szCs w:val="22"/>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11A4"/>
    <w:pPr>
      <w:tabs>
        <w:tab w:val="center" w:pos="4536"/>
        <w:tab w:val="right" w:pos="9072"/>
      </w:tabs>
      <w:spacing w:after="0" w:line="240" w:lineRule="auto"/>
    </w:pPr>
  </w:style>
  <w:style w:type="character" w:customStyle="1" w:styleId="HeaderChar">
    <w:name w:val="Header Char"/>
    <w:basedOn w:val="DefaultParagraphFont"/>
    <w:link w:val="Header"/>
    <w:uiPriority w:val="99"/>
    <w:rsid w:val="006211A4"/>
    <w:rPr>
      <w:rFonts w:cstheme="minorBidi"/>
      <w:sz w:val="22"/>
      <w:szCs w:val="22"/>
      <w:lang w:val="fr-FR"/>
    </w:rPr>
  </w:style>
  <w:style w:type="paragraph" w:styleId="Footer">
    <w:name w:val="footer"/>
    <w:basedOn w:val="Normal"/>
    <w:link w:val="FooterChar"/>
    <w:uiPriority w:val="99"/>
    <w:unhideWhenUsed/>
    <w:rsid w:val="006211A4"/>
    <w:pPr>
      <w:tabs>
        <w:tab w:val="center" w:pos="4536"/>
        <w:tab w:val="right" w:pos="9072"/>
      </w:tabs>
      <w:spacing w:after="0" w:line="240" w:lineRule="auto"/>
    </w:pPr>
  </w:style>
  <w:style w:type="character" w:customStyle="1" w:styleId="FooterChar">
    <w:name w:val="Footer Char"/>
    <w:basedOn w:val="DefaultParagraphFont"/>
    <w:link w:val="Footer"/>
    <w:uiPriority w:val="99"/>
    <w:rsid w:val="006211A4"/>
    <w:rPr>
      <w:rFonts w:cstheme="minorBidi"/>
      <w:sz w:val="22"/>
      <w:szCs w:val="22"/>
      <w:lang w:val="fr-FR"/>
    </w:rPr>
  </w:style>
  <w:style w:type="table" w:styleId="TableGrid">
    <w:name w:val="Table Grid"/>
    <w:basedOn w:val="TableNormal"/>
    <w:uiPriority w:val="39"/>
    <w:rsid w:val="006211A4"/>
    <w:pPr>
      <w:spacing w:after="0" w:line="240" w:lineRule="auto"/>
    </w:pPr>
    <w:rPr>
      <w:rFonts w:cstheme="minorBidi"/>
      <w:sz w:val="22"/>
      <w:szCs w:val="22"/>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1244</TotalTime>
  <Pages>1</Pages>
  <Words>304</Words>
  <Characters>1678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7</cp:revision>
  <dcterms:created xsi:type="dcterms:W3CDTF">2019-01-03T19:37:00Z</dcterms:created>
  <dcterms:modified xsi:type="dcterms:W3CDTF">2019-01-22T15:39:00Z</dcterms:modified>
</cp:coreProperties>
</file>