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3C72E9" w14:textId="77777777" w:rsidR="00AA372A" w:rsidRPr="008E4F36" w:rsidRDefault="00AA372A" w:rsidP="00AA372A">
      <w:pPr>
        <w:autoSpaceDE w:val="0"/>
        <w:autoSpaceDN w:val="0"/>
        <w:adjustRightInd w:val="0"/>
        <w:spacing w:after="0" w:line="240" w:lineRule="auto"/>
        <w:jc w:val="both"/>
        <w:rPr>
          <w:rFonts w:ascii="Times New Roman" w:eastAsia="Times New Roman" w:hAnsi="Times New Roman" w:cs="Times New Roman"/>
          <w:b/>
          <w:bCs/>
          <w:color w:val="222C31"/>
          <w:sz w:val="24"/>
          <w:szCs w:val="24"/>
          <w:shd w:val="clear" w:color="auto" w:fill="FFFFFF"/>
          <w:lang w:eastAsia="fr-FR"/>
        </w:rPr>
      </w:pPr>
      <w:r w:rsidRPr="008E4F36">
        <w:rPr>
          <w:rFonts w:ascii="Times New Roman" w:eastAsia="Times New Roman" w:hAnsi="Times New Roman" w:cs="Times New Roman"/>
          <w:b/>
          <w:bCs/>
          <w:color w:val="222C31"/>
          <w:sz w:val="24"/>
          <w:szCs w:val="24"/>
          <w:shd w:val="clear" w:color="auto" w:fill="FFFFFF"/>
          <w:lang w:eastAsia="fr-FR"/>
        </w:rPr>
        <w:t>Résumé :</w:t>
      </w:r>
    </w:p>
    <w:p w14:paraId="2E113514" w14:textId="77777777" w:rsidR="00AA372A" w:rsidRPr="008E4F36" w:rsidRDefault="00AA372A" w:rsidP="00AA372A">
      <w:pPr>
        <w:autoSpaceDE w:val="0"/>
        <w:autoSpaceDN w:val="0"/>
        <w:adjustRightInd w:val="0"/>
        <w:spacing w:after="0" w:line="240" w:lineRule="auto"/>
        <w:jc w:val="both"/>
        <w:rPr>
          <w:rFonts w:ascii="Times New Roman" w:eastAsia="Times New Roman" w:hAnsi="Times New Roman" w:cs="Times New Roman"/>
          <w:b/>
          <w:bCs/>
          <w:color w:val="222C31"/>
          <w:sz w:val="24"/>
          <w:szCs w:val="24"/>
          <w:shd w:val="clear" w:color="auto" w:fill="FFFFFF"/>
          <w:lang w:eastAsia="fr-FR"/>
        </w:rPr>
      </w:pPr>
    </w:p>
    <w:p w14:paraId="652E1156" w14:textId="77777777" w:rsidR="00AA372A" w:rsidRPr="008E4F36" w:rsidRDefault="00AA372A" w:rsidP="00AA372A">
      <w:pPr>
        <w:autoSpaceDE w:val="0"/>
        <w:autoSpaceDN w:val="0"/>
        <w:adjustRightInd w:val="0"/>
        <w:spacing w:after="0" w:line="360" w:lineRule="auto"/>
        <w:jc w:val="both"/>
        <w:rPr>
          <w:rFonts w:ascii="Times New Roman" w:eastAsia="Times New Roman" w:hAnsi="Times New Roman" w:cs="Times New Roman"/>
          <w:color w:val="222C31"/>
          <w:sz w:val="24"/>
          <w:szCs w:val="24"/>
          <w:shd w:val="clear" w:color="auto" w:fill="FFFFFF"/>
          <w:lang w:eastAsia="fr-FR"/>
        </w:rPr>
      </w:pPr>
      <w:r w:rsidRPr="008E4F36">
        <w:rPr>
          <w:rFonts w:ascii="Times New Roman" w:eastAsia="Times New Roman" w:hAnsi="Times New Roman" w:cs="Times New Roman"/>
          <w:color w:val="222C31"/>
          <w:sz w:val="24"/>
          <w:szCs w:val="24"/>
          <w:shd w:val="clear" w:color="auto" w:fill="FFFFFF"/>
          <w:lang w:eastAsia="fr-FR"/>
        </w:rPr>
        <w:t xml:space="preserve">    L’urbanisation rapide qui est due à la croissance démographique, aux volontarismes économique et administratif, est responsable de graves problèmes liés à la remontée des eaux de la nappe phréatique, cette remontée bien qu’elle apparaisse dans quelques quartiers, même si la majeure partie du tissu urbain est exposée à cette problématique. C’est pourquoi le choix des terres privilégiées pour l’urbanisation est basé sur le fait que ces dernières sont à l’abri du problème de la remontée des eaux, cela est devenu une part inéluctable d’une planification urbaine adéquate. La ville d’El Oued et sa conurbation ont été choisies pour ce travail afin de trouver les meilleurs endroits pour la construction future. Il s’agit de déterminer le degré d’adéquation des différentes catégories d’occupation des sols, ce qui constitue une nouveauté de ce manuscrit. Les travaux ont été exécutés au moyen d’une analyse multicritères fondée sur le SIG, et un total de six critères ont été utilisés pour trouver les endroits adéquats pour le développement bâti. Le processus de hiérarchie analytique ou AHP a été utilisé pour calculer les poids de chaque critère en utilisant une matrice de comparaison par paires. La carte finale d’adéquation du site a été préparée avec cinq classes différentes : très adéquate, adéquate, modérée, inadéquate, très inadéquate et restreinte, le pourcentage de terrain est élevé dans la catégorie inadéquate qui est de 43,53 %, ce pourcentage qui couvre, principalement les terres les plus populairement denses et les terres qui ont plus de difficulté d’accessibilité. Les résultats de ces travaux seraient fructueux pour les décideurs, les intervenants et les planificateurs, en déterminant les endroits idéals pour les projets de développement intense dans un avenir proche.</w:t>
      </w:r>
    </w:p>
    <w:p w14:paraId="335BFE9D" w14:textId="77777777" w:rsidR="00AA372A" w:rsidRPr="008E4F36" w:rsidRDefault="00AA372A" w:rsidP="00AA372A">
      <w:pPr>
        <w:autoSpaceDE w:val="0"/>
        <w:autoSpaceDN w:val="0"/>
        <w:adjustRightInd w:val="0"/>
        <w:spacing w:after="0" w:line="360" w:lineRule="auto"/>
        <w:jc w:val="both"/>
        <w:rPr>
          <w:rFonts w:ascii="Times New Roman" w:eastAsia="Times New Roman" w:hAnsi="Times New Roman" w:cs="Times New Roman"/>
          <w:color w:val="222C31"/>
          <w:sz w:val="24"/>
          <w:szCs w:val="24"/>
          <w:shd w:val="clear" w:color="auto" w:fill="FFFFFF"/>
          <w:lang w:eastAsia="fr-FR"/>
        </w:rPr>
      </w:pPr>
    </w:p>
    <w:p w14:paraId="6B4395DD" w14:textId="77777777" w:rsidR="00AA372A" w:rsidRPr="008E4F36" w:rsidRDefault="00AA372A" w:rsidP="00AA372A">
      <w:pPr>
        <w:spacing w:after="0" w:line="360" w:lineRule="auto"/>
        <w:jc w:val="both"/>
        <w:rPr>
          <w:rFonts w:ascii="Times New Roman" w:eastAsia="Times New Roman" w:hAnsi="Times New Roman" w:cs="Times New Roman"/>
          <w:color w:val="222C31"/>
          <w:sz w:val="24"/>
          <w:szCs w:val="24"/>
          <w:shd w:val="clear" w:color="auto" w:fill="FFFFFF"/>
          <w:lang w:eastAsia="fr-FR"/>
        </w:rPr>
      </w:pPr>
      <w:r w:rsidRPr="008E4F36">
        <w:rPr>
          <w:rFonts w:ascii="Times New Roman" w:eastAsia="Times New Roman" w:hAnsi="Times New Roman" w:cs="Times New Roman"/>
          <w:b/>
          <w:bCs/>
          <w:color w:val="222C31"/>
          <w:sz w:val="24"/>
          <w:szCs w:val="24"/>
          <w:shd w:val="clear" w:color="auto" w:fill="FFFFFF"/>
          <w:lang w:eastAsia="fr-FR"/>
        </w:rPr>
        <w:t>Mots-clés</w:t>
      </w:r>
      <w:r w:rsidRPr="008E4F36">
        <w:rPr>
          <w:rFonts w:ascii="Times New Roman" w:eastAsia="Times New Roman" w:hAnsi="Times New Roman" w:cs="Times New Roman"/>
          <w:color w:val="222C31"/>
          <w:sz w:val="24"/>
          <w:szCs w:val="24"/>
          <w:shd w:val="clear" w:color="auto" w:fill="FFFFFF"/>
          <w:lang w:eastAsia="fr-FR"/>
        </w:rPr>
        <w:t> : Conurbation – Nappe Phréatique – Vulnérabilité - Analyse en Composantes Multiples - Adéquation des terres - Multicritères - Processus de Hiérarchie Analytique</w:t>
      </w:r>
      <w:r w:rsidRPr="008E4F36">
        <w:rPr>
          <w:rFonts w:ascii="Times New Roman" w:eastAsia="Times New Roman" w:hAnsi="Times New Roman" w:cs="Times New Roman" w:hint="cs"/>
          <w:color w:val="222C31"/>
          <w:sz w:val="24"/>
          <w:szCs w:val="24"/>
          <w:shd w:val="clear" w:color="auto" w:fill="FFFFFF"/>
          <w:rtl/>
          <w:lang w:eastAsia="fr-FR"/>
        </w:rPr>
        <w:t>.</w:t>
      </w:r>
    </w:p>
    <w:p w14:paraId="1AD92E68" w14:textId="77777777" w:rsidR="00AA372A" w:rsidRPr="008E4F36" w:rsidRDefault="00AA372A" w:rsidP="00AA372A">
      <w:pPr>
        <w:spacing w:after="0" w:line="360" w:lineRule="auto"/>
        <w:jc w:val="both"/>
        <w:rPr>
          <w:rFonts w:ascii="Times New Roman" w:eastAsia="Times New Roman" w:hAnsi="Times New Roman" w:cs="Times New Roman"/>
          <w:color w:val="222C31"/>
          <w:sz w:val="24"/>
          <w:szCs w:val="24"/>
          <w:shd w:val="clear" w:color="auto" w:fill="FFFFFF"/>
          <w:lang w:eastAsia="fr-FR"/>
        </w:rPr>
      </w:pPr>
    </w:p>
    <w:p w14:paraId="18D60DA5" w14:textId="77777777" w:rsidR="00AA372A" w:rsidRPr="008E4F36" w:rsidRDefault="00AA372A" w:rsidP="00AA372A">
      <w:pPr>
        <w:spacing w:after="200" w:line="360" w:lineRule="auto"/>
        <w:jc w:val="both"/>
        <w:rPr>
          <w:rFonts w:ascii="Times New Roman" w:eastAsia="Times New Roman" w:hAnsi="Times New Roman" w:cs="Times New Roman"/>
          <w:color w:val="222C31"/>
          <w:sz w:val="24"/>
          <w:szCs w:val="24"/>
          <w:shd w:val="clear" w:color="auto" w:fill="FFFFFF"/>
          <w:lang w:eastAsia="fr-FR"/>
        </w:rPr>
      </w:pPr>
    </w:p>
    <w:p w14:paraId="66D63FD1" w14:textId="77777777" w:rsidR="00AA372A" w:rsidRPr="008E4F36" w:rsidRDefault="00AA372A" w:rsidP="00AA372A">
      <w:pPr>
        <w:spacing w:after="200" w:line="276" w:lineRule="auto"/>
        <w:rPr>
          <w:rFonts w:ascii="Times New Roman" w:eastAsia="Times New Roman" w:hAnsi="Times New Roman" w:cs="Times New Roman"/>
          <w:sz w:val="24"/>
          <w:szCs w:val="24"/>
          <w:lang w:eastAsia="fr-FR" w:bidi="ar-DZ"/>
        </w:rPr>
        <w:sectPr w:rsidR="00AA372A" w:rsidRPr="008E4F36" w:rsidSect="00B53B6E">
          <w:pgSz w:w="11906" w:h="16838"/>
          <w:pgMar w:top="1418" w:right="1418" w:bottom="1418" w:left="1418" w:header="708" w:footer="708" w:gutter="0"/>
          <w:cols w:space="708"/>
          <w:docGrid w:linePitch="360"/>
        </w:sectPr>
      </w:pPr>
    </w:p>
    <w:p w14:paraId="445B1CB4" w14:textId="77777777" w:rsidR="00AA372A" w:rsidRPr="008E4F36" w:rsidRDefault="00AA372A" w:rsidP="00AA372A">
      <w:pPr>
        <w:spacing w:after="200" w:line="360" w:lineRule="auto"/>
        <w:jc w:val="both"/>
        <w:rPr>
          <w:rFonts w:ascii="Times New Roman" w:eastAsia="Times New Roman" w:hAnsi="Times New Roman" w:cs="Times New Roman"/>
          <w:b/>
          <w:bCs/>
          <w:sz w:val="24"/>
          <w:szCs w:val="24"/>
          <w:lang w:val="en-US" w:eastAsia="fr-FR"/>
        </w:rPr>
      </w:pPr>
      <w:r w:rsidRPr="008E4F36">
        <w:rPr>
          <w:rFonts w:ascii="Times New Roman" w:eastAsia="Times New Roman" w:hAnsi="Times New Roman" w:cs="Times New Roman"/>
          <w:b/>
          <w:bCs/>
          <w:sz w:val="24"/>
          <w:szCs w:val="24"/>
          <w:lang w:val="en-US" w:eastAsia="fr-FR"/>
        </w:rPr>
        <w:lastRenderedPageBreak/>
        <w:t>Abstract</w:t>
      </w:r>
    </w:p>
    <w:p w14:paraId="7668EED1" w14:textId="77777777" w:rsidR="00AA372A" w:rsidRPr="008E4F36" w:rsidRDefault="00AA372A" w:rsidP="00AA372A">
      <w:pPr>
        <w:spacing w:after="0" w:line="360" w:lineRule="auto"/>
        <w:jc w:val="both"/>
        <w:rPr>
          <w:rFonts w:ascii="Times New Roman" w:eastAsia="Times New Roman" w:hAnsi="Times New Roman" w:cs="Times New Roman"/>
          <w:color w:val="222C31"/>
          <w:sz w:val="24"/>
          <w:szCs w:val="24"/>
          <w:shd w:val="clear" w:color="auto" w:fill="FFFFFF"/>
          <w:lang w:val="en-US" w:eastAsia="fr-FR"/>
        </w:rPr>
      </w:pPr>
      <w:r w:rsidRPr="008E4F36">
        <w:rPr>
          <w:rFonts w:ascii="Times New Roman" w:eastAsia="Times New Roman" w:hAnsi="Times New Roman" w:cs="Times New Roman"/>
          <w:color w:val="222C31"/>
          <w:sz w:val="24"/>
          <w:szCs w:val="24"/>
          <w:shd w:val="clear" w:color="auto" w:fill="FFFFFF"/>
          <w:lang w:val="en-US" w:eastAsia="fr-FR"/>
        </w:rPr>
        <w:t xml:space="preserve">      The rapid urbanization which is due to demographic growth and to economic and administrative voluntarism, is responsible for serious problems linked to the rise in the water level of the water table, this rise although it appears in some districts, even if the major part of the urban fabric is exposed to this problem. This is why the choice of preferred land for urbanization is based on the fact that the latter are sheltered from the problem of rising waters, this has become an inevitable part of adequate urban planning. The city of El Oued and its conurbation were chosen for this work in order to find the best places for future construction. It is a question of determining the degree of adequacy of the different categories of land use, which constitutes a novelty of this manuscript. The work was carried out using a multi-criteria analysis based on the GIS, and a total of six criteria were used to find suitable locations for built development. The analytical hierarchy process or AHP was used to calculate the weights for each criterion using a pair comparison matrix. The final site suitability map has been prepared with five different classes: very adequate, adequate, moderate, inadequate, very inadequate and restricted, the percentage of land is high in the inadequate category of 43.53%, which covers, mainly the most densely populated lands and the lands that have more difficulty of accessibility. The results of this work would be fruitful for decision makers, stakeholders and planners, identifying the ideal locations for intense development projects in the near future.</w:t>
      </w:r>
    </w:p>
    <w:p w14:paraId="329EC86E" w14:textId="77777777" w:rsidR="00AA372A" w:rsidRPr="008E4F36" w:rsidRDefault="00AA372A" w:rsidP="00AA372A">
      <w:pPr>
        <w:spacing w:after="0" w:line="360" w:lineRule="auto"/>
        <w:jc w:val="both"/>
        <w:rPr>
          <w:rFonts w:ascii="Times New Roman" w:eastAsia="Times New Roman" w:hAnsi="Times New Roman" w:cs="Times New Roman"/>
          <w:sz w:val="24"/>
          <w:szCs w:val="24"/>
          <w:lang w:val="en-US" w:eastAsia="fr-FR"/>
        </w:rPr>
      </w:pPr>
    </w:p>
    <w:p w14:paraId="107BEB39" w14:textId="77777777" w:rsidR="00AA372A" w:rsidRPr="008E4F36" w:rsidRDefault="00AA372A" w:rsidP="00AA372A">
      <w:pPr>
        <w:spacing w:after="0" w:line="276" w:lineRule="auto"/>
        <w:jc w:val="both"/>
        <w:rPr>
          <w:rFonts w:ascii="Times New Roman" w:eastAsia="Times New Roman" w:hAnsi="Times New Roman" w:cs="Times New Roman"/>
          <w:sz w:val="24"/>
          <w:szCs w:val="24"/>
          <w:lang w:val="en-US" w:eastAsia="fr-FR"/>
        </w:rPr>
      </w:pPr>
    </w:p>
    <w:p w14:paraId="7CFB9337" w14:textId="77777777" w:rsidR="00AA372A" w:rsidRPr="008E4F36" w:rsidRDefault="00AA372A" w:rsidP="00AA372A">
      <w:pPr>
        <w:spacing w:after="0" w:line="360" w:lineRule="auto"/>
        <w:jc w:val="both"/>
        <w:rPr>
          <w:rFonts w:ascii="Times New Roman" w:eastAsia="Times New Roman" w:hAnsi="Times New Roman" w:cs="Times New Roman"/>
          <w:color w:val="222C31"/>
          <w:sz w:val="24"/>
          <w:szCs w:val="24"/>
          <w:shd w:val="clear" w:color="auto" w:fill="FFFFFF"/>
          <w:lang w:val="en-US" w:eastAsia="fr-FR"/>
        </w:rPr>
      </w:pPr>
      <w:r w:rsidRPr="008E4F36">
        <w:rPr>
          <w:rFonts w:ascii="Times New Roman" w:eastAsia="Times New Roman" w:hAnsi="Times New Roman" w:cs="Times New Roman"/>
          <w:b/>
          <w:bCs/>
          <w:sz w:val="24"/>
          <w:szCs w:val="24"/>
          <w:lang w:val="en-US" w:eastAsia="fr-FR"/>
        </w:rPr>
        <w:t xml:space="preserve">Keywords: </w:t>
      </w:r>
      <w:r w:rsidRPr="008E4F36">
        <w:rPr>
          <w:rFonts w:ascii="Times New Roman" w:eastAsia="Times New Roman" w:hAnsi="Times New Roman" w:cs="Times New Roman"/>
          <w:color w:val="222C31"/>
          <w:sz w:val="24"/>
          <w:szCs w:val="24"/>
          <w:shd w:val="clear" w:color="auto" w:fill="FFFFFF"/>
          <w:lang w:val="en-US" w:eastAsia="fr-FR"/>
        </w:rPr>
        <w:t xml:space="preserve">Conurbation – </w:t>
      </w:r>
      <w:r w:rsidRPr="008E4F36">
        <w:rPr>
          <w:rFonts w:ascii="Times New Roman" w:eastAsia="Times New Roman" w:hAnsi="Times New Roman" w:cs="Times New Roman"/>
          <w:color w:val="222C31"/>
          <w:sz w:val="24"/>
          <w:szCs w:val="24"/>
          <w:lang w:val="en-US" w:eastAsia="fr-FR"/>
        </w:rPr>
        <w:t>groundwater</w:t>
      </w:r>
      <w:r w:rsidRPr="008E4F36">
        <w:rPr>
          <w:rFonts w:ascii="Times New Roman" w:eastAsia="Times New Roman" w:hAnsi="Times New Roman" w:cs="Times New Roman"/>
          <w:color w:val="222C31"/>
          <w:sz w:val="24"/>
          <w:szCs w:val="24"/>
          <w:shd w:val="clear" w:color="auto" w:fill="FFFFFF"/>
          <w:lang w:val="en-US" w:eastAsia="fr-FR"/>
        </w:rPr>
        <w:t>- Vulnerability - Multiple component analysis - Land suitability - Multicriteria - Analytical hierarchy process.</w:t>
      </w:r>
    </w:p>
    <w:p w14:paraId="5A4B96F2" w14:textId="77777777" w:rsidR="00AA372A" w:rsidRPr="008E4F36" w:rsidRDefault="00AA372A" w:rsidP="00AA372A">
      <w:pPr>
        <w:autoSpaceDE w:val="0"/>
        <w:autoSpaceDN w:val="0"/>
        <w:adjustRightInd w:val="0"/>
        <w:spacing w:after="0" w:line="360" w:lineRule="auto"/>
        <w:jc w:val="both"/>
        <w:rPr>
          <w:rFonts w:ascii="Times New Roman" w:eastAsia="Times New Roman" w:hAnsi="Times New Roman" w:cs="Times New Roman"/>
          <w:color w:val="222C31"/>
          <w:sz w:val="24"/>
          <w:szCs w:val="24"/>
          <w:shd w:val="clear" w:color="auto" w:fill="FFFFFF"/>
          <w:lang w:val="en-US" w:eastAsia="fr-FR"/>
        </w:rPr>
      </w:pPr>
    </w:p>
    <w:p w14:paraId="20EAA665" w14:textId="77777777" w:rsidR="00AA372A" w:rsidRPr="008E4F36" w:rsidRDefault="00AA372A" w:rsidP="00AA372A">
      <w:pPr>
        <w:spacing w:after="200" w:line="276" w:lineRule="auto"/>
        <w:rPr>
          <w:rFonts w:ascii="Times New Roman" w:eastAsia="Times New Roman" w:hAnsi="Times New Roman" w:cs="Times New Roman"/>
          <w:sz w:val="24"/>
          <w:szCs w:val="24"/>
          <w:lang w:eastAsia="fr-FR" w:bidi="ar-DZ"/>
        </w:rPr>
        <w:sectPr w:rsidR="00AA372A" w:rsidRPr="008E4F36" w:rsidSect="00B53B6E">
          <w:pgSz w:w="11906" w:h="16838"/>
          <w:pgMar w:top="1418" w:right="1418" w:bottom="1418" w:left="1418" w:header="708" w:footer="708" w:gutter="0"/>
          <w:cols w:space="708"/>
          <w:docGrid w:linePitch="360"/>
        </w:sectPr>
      </w:pPr>
    </w:p>
    <w:p w14:paraId="64FE3A6B" w14:textId="77777777" w:rsidR="00AA372A" w:rsidRPr="008E4F36" w:rsidRDefault="00AA372A" w:rsidP="00AA372A">
      <w:pPr>
        <w:bidi/>
        <w:spacing w:after="0" w:line="360" w:lineRule="auto"/>
        <w:jc w:val="both"/>
        <w:rPr>
          <w:rFonts w:ascii="Dubai" w:eastAsia="Times New Roman" w:hAnsi="Dubai" w:cs="Dubai"/>
          <w:b/>
          <w:bCs/>
          <w:color w:val="222C31"/>
          <w:sz w:val="24"/>
          <w:szCs w:val="24"/>
          <w:shd w:val="clear" w:color="auto" w:fill="FFFFFF"/>
          <w:rtl/>
          <w:lang w:eastAsia="fr-FR"/>
        </w:rPr>
      </w:pPr>
      <w:r w:rsidRPr="008E4F36">
        <w:rPr>
          <w:rFonts w:ascii="Dubai" w:eastAsia="Times New Roman" w:hAnsi="Dubai" w:cs="Dubai" w:hint="cs"/>
          <w:b/>
          <w:bCs/>
          <w:color w:val="222C31"/>
          <w:sz w:val="24"/>
          <w:szCs w:val="24"/>
          <w:shd w:val="clear" w:color="auto" w:fill="FFFFFF"/>
          <w:rtl/>
          <w:lang w:eastAsia="fr-FR"/>
        </w:rPr>
        <w:t>الملخص</w:t>
      </w:r>
    </w:p>
    <w:p w14:paraId="081410E3" w14:textId="77777777" w:rsidR="00AA372A" w:rsidRPr="008E4F36" w:rsidRDefault="00AA372A" w:rsidP="00AA372A">
      <w:pPr>
        <w:bidi/>
        <w:spacing w:after="0" w:line="360" w:lineRule="auto"/>
        <w:jc w:val="both"/>
        <w:rPr>
          <w:rFonts w:ascii="Dubai" w:eastAsia="Times New Roman" w:hAnsi="Dubai" w:cs="Dubai"/>
          <w:sz w:val="24"/>
          <w:szCs w:val="24"/>
          <w:rtl/>
          <w:lang w:eastAsia="fr-FR" w:bidi="ar-DZ"/>
        </w:rPr>
      </w:pPr>
      <w:r w:rsidRPr="008E4F36">
        <w:rPr>
          <w:rFonts w:ascii="Dubai" w:eastAsia="Times New Roman" w:hAnsi="Dubai" w:cs="Dubai"/>
          <w:color w:val="222C31"/>
          <w:sz w:val="24"/>
          <w:szCs w:val="24"/>
          <w:shd w:val="clear" w:color="auto" w:fill="FFFFFF"/>
          <w:rtl/>
          <w:lang w:eastAsia="fr-FR"/>
        </w:rPr>
        <w:t xml:space="preserve">التحضر السريع المترتب </w:t>
      </w:r>
      <w:r w:rsidRPr="008E4F36">
        <w:rPr>
          <w:rFonts w:ascii="Dubai" w:eastAsia="Times New Roman" w:hAnsi="Dubai" w:cs="Dubai" w:hint="cs"/>
          <w:color w:val="222C31"/>
          <w:sz w:val="24"/>
          <w:szCs w:val="24"/>
          <w:shd w:val="clear" w:color="auto" w:fill="FFFFFF"/>
          <w:rtl/>
          <w:lang w:eastAsia="fr-FR"/>
        </w:rPr>
        <w:t>عن سياسات</w:t>
      </w:r>
      <w:r w:rsidRPr="008E4F36">
        <w:rPr>
          <w:rFonts w:ascii="Dubai" w:eastAsia="Times New Roman" w:hAnsi="Dubai" w:cs="Dubai"/>
          <w:color w:val="222C31"/>
          <w:sz w:val="24"/>
          <w:szCs w:val="24"/>
          <w:shd w:val="clear" w:color="auto" w:fill="FFFFFF"/>
          <w:rtl/>
          <w:lang w:eastAsia="fr-FR"/>
        </w:rPr>
        <w:t xml:space="preserve"> التنمية الاقتصادية، الترقية الإدارية والنمو السكاني، </w:t>
      </w:r>
      <w:r w:rsidRPr="008E4F36">
        <w:rPr>
          <w:rFonts w:ascii="Dubai" w:eastAsia="Times New Roman" w:hAnsi="Dubai" w:cs="Dubai" w:hint="cs"/>
          <w:color w:val="222C31"/>
          <w:sz w:val="24"/>
          <w:szCs w:val="24"/>
          <w:shd w:val="clear" w:color="auto" w:fill="FFFFFF"/>
          <w:rtl/>
          <w:lang w:eastAsia="fr-FR"/>
        </w:rPr>
        <w:t>كان مسؤولا</w:t>
      </w:r>
      <w:r w:rsidRPr="008E4F36">
        <w:rPr>
          <w:rFonts w:ascii="Dubai" w:eastAsia="Times New Roman" w:hAnsi="Dubai" w:cs="Dubai"/>
          <w:color w:val="222C31"/>
          <w:sz w:val="24"/>
          <w:szCs w:val="24"/>
          <w:shd w:val="clear" w:color="auto" w:fill="FFFFFF"/>
          <w:rtl/>
          <w:lang w:eastAsia="fr-FR"/>
        </w:rPr>
        <w:t xml:space="preserve"> عن مشاكل خطيرة تتعلق بارتفاع منسوب مياه الطبقة </w:t>
      </w:r>
      <w:r w:rsidRPr="008E4F36">
        <w:rPr>
          <w:rFonts w:ascii="Dubai" w:eastAsia="Times New Roman" w:hAnsi="Dubai" w:cs="Dubai" w:hint="cs"/>
          <w:color w:val="222C31"/>
          <w:sz w:val="24"/>
          <w:szCs w:val="24"/>
          <w:shd w:val="clear" w:color="auto" w:fill="FFFFFF"/>
          <w:rtl/>
          <w:lang w:eastAsia="fr-FR"/>
        </w:rPr>
        <w:t>الحرة،</w:t>
      </w:r>
      <w:r w:rsidRPr="008E4F36">
        <w:rPr>
          <w:rFonts w:ascii="Dubai" w:eastAsia="Times New Roman" w:hAnsi="Dubai" w:cs="Dubai"/>
          <w:color w:val="222C31"/>
          <w:sz w:val="24"/>
          <w:szCs w:val="24"/>
          <w:shd w:val="clear" w:color="auto" w:fill="FFFFFF"/>
          <w:rtl/>
          <w:lang w:eastAsia="fr-FR"/>
        </w:rPr>
        <w:t xml:space="preserve"> وإن كانت المياه </w:t>
      </w:r>
      <w:r w:rsidRPr="008E4F36">
        <w:rPr>
          <w:rFonts w:ascii="Dubai" w:eastAsia="Times New Roman" w:hAnsi="Dubai" w:cs="Dubai" w:hint="cs"/>
          <w:color w:val="222C31"/>
          <w:sz w:val="24"/>
          <w:szCs w:val="24"/>
          <w:shd w:val="clear" w:color="auto" w:fill="FFFFFF"/>
          <w:rtl/>
          <w:lang w:eastAsia="fr-FR"/>
        </w:rPr>
        <w:t>الصاعدة تظهر</w:t>
      </w:r>
      <w:r w:rsidRPr="008E4F36">
        <w:rPr>
          <w:rFonts w:ascii="Dubai" w:eastAsia="Times New Roman" w:hAnsi="Dubai" w:cs="Dubai"/>
          <w:color w:val="222C31"/>
          <w:sz w:val="24"/>
          <w:szCs w:val="24"/>
          <w:shd w:val="clear" w:color="auto" w:fill="FFFFFF"/>
          <w:rtl/>
          <w:lang w:eastAsia="fr-FR"/>
        </w:rPr>
        <w:t xml:space="preserve"> في أحياء دون </w:t>
      </w:r>
      <w:r w:rsidRPr="008E4F36">
        <w:rPr>
          <w:rFonts w:ascii="Dubai" w:eastAsia="Times New Roman" w:hAnsi="Dubai" w:cs="Dubai" w:hint="cs"/>
          <w:color w:val="222C31"/>
          <w:sz w:val="24"/>
          <w:szCs w:val="24"/>
          <w:shd w:val="clear" w:color="auto" w:fill="FFFFFF"/>
          <w:rtl/>
          <w:lang w:eastAsia="fr-FR"/>
        </w:rPr>
        <w:t>غيرها،</w:t>
      </w:r>
      <w:r w:rsidRPr="008E4F36">
        <w:rPr>
          <w:rFonts w:ascii="Dubai" w:eastAsia="Times New Roman" w:hAnsi="Dubai" w:cs="Dubai"/>
          <w:color w:val="222C31"/>
          <w:sz w:val="24"/>
          <w:szCs w:val="24"/>
          <w:shd w:val="clear" w:color="auto" w:fill="FFFFFF"/>
          <w:rtl/>
          <w:lang w:eastAsia="fr-FR"/>
        </w:rPr>
        <w:t xml:space="preserve"> رغم أن معظم النسيج الحضري معرضا لهذه المشكلة</w:t>
      </w:r>
      <w:r w:rsidRPr="008E4F36">
        <w:rPr>
          <w:rFonts w:ascii="Dubai" w:eastAsia="Times New Roman" w:hAnsi="Dubai" w:cs="Dubai"/>
          <w:color w:val="222C31"/>
          <w:sz w:val="24"/>
          <w:szCs w:val="24"/>
          <w:shd w:val="clear" w:color="auto" w:fill="FFFFFF"/>
          <w:lang w:eastAsia="fr-FR"/>
        </w:rPr>
        <w:t xml:space="preserve">. </w:t>
      </w:r>
      <w:r w:rsidRPr="008E4F36">
        <w:rPr>
          <w:rFonts w:ascii="Dubai" w:eastAsia="Times New Roman" w:hAnsi="Dubai" w:cs="Dubai" w:hint="cs"/>
          <w:color w:val="222C31"/>
          <w:sz w:val="24"/>
          <w:szCs w:val="24"/>
          <w:shd w:val="clear" w:color="auto" w:fill="FFFFFF"/>
          <w:rtl/>
          <w:lang w:eastAsia="fr-FR"/>
        </w:rPr>
        <w:t xml:space="preserve"> </w:t>
      </w:r>
      <w:r w:rsidRPr="008E4F36">
        <w:rPr>
          <w:rFonts w:ascii="Dubai" w:eastAsia="Times New Roman" w:hAnsi="Dubai" w:cs="Dubai"/>
          <w:color w:val="222C31"/>
          <w:sz w:val="24"/>
          <w:szCs w:val="24"/>
          <w:shd w:val="clear" w:color="auto" w:fill="FFFFFF"/>
          <w:rtl/>
          <w:lang w:eastAsia="fr-FR"/>
        </w:rPr>
        <w:t>لهذا السبب، فإن اختيار الأراضي المفضلة للتوسع الحضري يستند إلى</w:t>
      </w:r>
      <w:r w:rsidRPr="008E4F36">
        <w:rPr>
          <w:rFonts w:ascii="Dubai" w:eastAsia="Times New Roman" w:hAnsi="Dubai" w:cs="Dubai"/>
          <w:color w:val="222C31"/>
          <w:sz w:val="24"/>
          <w:szCs w:val="24"/>
          <w:shd w:val="clear" w:color="auto" w:fill="FFFFFF"/>
          <w:rtl/>
          <w:lang w:eastAsia="fr-FR" w:bidi="ar-DZ"/>
        </w:rPr>
        <w:t xml:space="preserve"> ضرورة</w:t>
      </w:r>
      <w:r w:rsidRPr="008E4F36">
        <w:rPr>
          <w:rFonts w:ascii="Dubai" w:eastAsia="Times New Roman" w:hAnsi="Dubai" w:cs="Dubai"/>
          <w:color w:val="222C31"/>
          <w:sz w:val="24"/>
          <w:szCs w:val="24"/>
          <w:shd w:val="clear" w:color="auto" w:fill="FFFFFF"/>
          <w:lang w:eastAsia="fr-FR"/>
        </w:rPr>
        <w:t xml:space="preserve"> </w:t>
      </w:r>
      <w:r w:rsidRPr="008E4F36">
        <w:rPr>
          <w:rFonts w:ascii="Dubai" w:eastAsia="Times New Roman" w:hAnsi="Dubai" w:cs="Dubai"/>
          <w:color w:val="222C31"/>
          <w:sz w:val="24"/>
          <w:szCs w:val="24"/>
          <w:shd w:val="clear" w:color="auto" w:fill="FFFFFF"/>
          <w:rtl/>
          <w:lang w:eastAsia="fr-FR"/>
        </w:rPr>
        <w:t>أن تكون هذه الأخيرة محمية من مشكلة ارتفاع منسوب المياه أصبح جزءاً لا مفر منه من التخطيط الحضري الملائم</w:t>
      </w:r>
      <w:r w:rsidRPr="008E4F36">
        <w:rPr>
          <w:rFonts w:ascii="Dubai" w:eastAsia="Times New Roman" w:hAnsi="Dubai" w:cs="Dubai"/>
          <w:color w:val="222C31"/>
          <w:sz w:val="24"/>
          <w:szCs w:val="24"/>
          <w:shd w:val="clear" w:color="auto" w:fill="FFFFFF"/>
          <w:lang w:eastAsia="fr-FR"/>
        </w:rPr>
        <w:t>. </w:t>
      </w:r>
      <w:r w:rsidRPr="008E4F36">
        <w:rPr>
          <w:rFonts w:ascii="Dubai" w:eastAsia="Times New Roman" w:hAnsi="Dubai" w:cs="Dubai"/>
          <w:color w:val="222C31"/>
          <w:sz w:val="24"/>
          <w:szCs w:val="24"/>
          <w:shd w:val="clear" w:color="auto" w:fill="FFFFFF"/>
          <w:rtl/>
          <w:lang w:eastAsia="fr-FR"/>
        </w:rPr>
        <w:t xml:space="preserve"> اختير التجمع الحضري ما بين البلديات </w:t>
      </w:r>
      <w:r w:rsidRPr="008E4F36">
        <w:rPr>
          <w:rFonts w:ascii="Dubai" w:eastAsia="Times New Roman" w:hAnsi="Dubai" w:cs="Dubai" w:hint="cs"/>
          <w:color w:val="222C31"/>
          <w:sz w:val="24"/>
          <w:szCs w:val="24"/>
          <w:shd w:val="clear" w:color="auto" w:fill="FFFFFF"/>
          <w:rtl/>
          <w:lang w:eastAsia="fr-FR"/>
        </w:rPr>
        <w:t>الواد-كوينين-البياضة</w:t>
      </w:r>
      <w:r w:rsidRPr="008E4F36">
        <w:rPr>
          <w:rFonts w:ascii="Dubai" w:eastAsia="Times New Roman" w:hAnsi="Dubai" w:cs="Dubai"/>
          <w:color w:val="222C31"/>
          <w:sz w:val="24"/>
          <w:szCs w:val="24"/>
          <w:shd w:val="clear" w:color="auto" w:fill="FFFFFF"/>
          <w:rtl/>
          <w:lang w:eastAsia="fr-FR"/>
        </w:rPr>
        <w:t xml:space="preserve"> </w:t>
      </w:r>
      <w:r w:rsidRPr="008E4F36">
        <w:rPr>
          <w:rFonts w:ascii="Dubai" w:eastAsia="Times New Roman" w:hAnsi="Dubai" w:cs="Dubai" w:hint="cs"/>
          <w:color w:val="222C31"/>
          <w:sz w:val="24"/>
          <w:szCs w:val="24"/>
          <w:shd w:val="clear" w:color="auto" w:fill="FFFFFF"/>
          <w:rtl/>
          <w:lang w:eastAsia="fr-FR"/>
        </w:rPr>
        <w:t>والرباح نموذجا لهذا</w:t>
      </w:r>
      <w:r w:rsidRPr="008E4F36">
        <w:rPr>
          <w:rFonts w:ascii="Dubai" w:eastAsia="Times New Roman" w:hAnsi="Dubai" w:cs="Dubai"/>
          <w:color w:val="222C31"/>
          <w:sz w:val="24"/>
          <w:szCs w:val="24"/>
          <w:shd w:val="clear" w:color="auto" w:fill="FFFFFF"/>
          <w:rtl/>
          <w:lang w:eastAsia="fr-FR"/>
        </w:rPr>
        <w:t xml:space="preserve"> العمل من أجل إيجاد أفضل الأماكن للبناء في المستقبل</w:t>
      </w:r>
      <w:r w:rsidRPr="008E4F36">
        <w:rPr>
          <w:rFonts w:ascii="Dubai" w:eastAsia="Times New Roman" w:hAnsi="Dubai" w:cs="Dubai"/>
          <w:color w:val="222C31"/>
          <w:sz w:val="24"/>
          <w:szCs w:val="24"/>
          <w:shd w:val="clear" w:color="auto" w:fill="FFFFFF"/>
          <w:lang w:eastAsia="fr-FR"/>
        </w:rPr>
        <w:t>. </w:t>
      </w:r>
      <w:r w:rsidRPr="008E4F36">
        <w:rPr>
          <w:rFonts w:ascii="Dubai" w:eastAsia="Times New Roman" w:hAnsi="Dubai" w:cs="Dubai" w:hint="cs"/>
          <w:color w:val="222C31"/>
          <w:sz w:val="24"/>
          <w:szCs w:val="24"/>
          <w:shd w:val="clear" w:color="auto" w:fill="FFFFFF"/>
          <w:rtl/>
          <w:lang w:eastAsia="fr-FR"/>
        </w:rPr>
        <w:t xml:space="preserve"> </w:t>
      </w:r>
      <w:r w:rsidRPr="008E4F36">
        <w:rPr>
          <w:rFonts w:ascii="Dubai" w:eastAsia="Times New Roman" w:hAnsi="Dubai" w:cs="Dubai"/>
          <w:color w:val="222C31"/>
          <w:sz w:val="24"/>
          <w:szCs w:val="24"/>
          <w:shd w:val="clear" w:color="auto" w:fill="FFFFFF"/>
          <w:rtl/>
          <w:lang w:eastAsia="fr-FR"/>
        </w:rPr>
        <w:t>وهي مسألة تحديد درجة ملائمة استخدام الأراضي</w:t>
      </w:r>
      <w:r w:rsidRPr="008E4F36">
        <w:rPr>
          <w:rFonts w:ascii="Dubai" w:eastAsia="Times New Roman" w:hAnsi="Dubai" w:cs="Dubai" w:hint="cs"/>
          <w:color w:val="222C31"/>
          <w:sz w:val="24"/>
          <w:szCs w:val="24"/>
          <w:shd w:val="clear" w:color="auto" w:fill="FFFFFF"/>
          <w:rtl/>
          <w:lang w:eastAsia="fr-FR"/>
        </w:rPr>
        <w:t xml:space="preserve"> </w:t>
      </w:r>
      <w:r w:rsidRPr="008E4F36">
        <w:rPr>
          <w:rFonts w:ascii="Dubai" w:eastAsia="Times New Roman" w:hAnsi="Dubai" w:cs="Dubai"/>
          <w:color w:val="222C31"/>
          <w:sz w:val="24"/>
          <w:szCs w:val="24"/>
          <w:shd w:val="clear" w:color="auto" w:fill="FFFFFF"/>
          <w:rtl/>
          <w:lang w:eastAsia="fr-FR"/>
        </w:rPr>
        <w:t>حسب</w:t>
      </w:r>
      <w:r w:rsidRPr="008E4F36">
        <w:rPr>
          <w:rFonts w:ascii="Dubai" w:eastAsia="Times New Roman" w:hAnsi="Dubai" w:cs="Dubai" w:hint="cs"/>
          <w:color w:val="222C31"/>
          <w:sz w:val="24"/>
          <w:szCs w:val="24"/>
          <w:shd w:val="clear" w:color="auto" w:fill="FFFFFF"/>
          <w:rtl/>
          <w:lang w:eastAsia="fr-FR"/>
        </w:rPr>
        <w:t xml:space="preserve"> </w:t>
      </w:r>
      <w:r w:rsidRPr="008E4F36">
        <w:rPr>
          <w:rFonts w:ascii="Dubai" w:eastAsia="Times New Roman" w:hAnsi="Dubai" w:cs="Dubai"/>
          <w:color w:val="222C31"/>
          <w:sz w:val="24"/>
          <w:szCs w:val="24"/>
          <w:shd w:val="clear" w:color="auto" w:fill="FFFFFF"/>
          <w:rtl/>
          <w:lang w:eastAsia="fr-FR"/>
        </w:rPr>
        <w:t>مختلف الفئات، هذه الأعمال تشكل حداثة لهذه المخطوطة</w:t>
      </w:r>
      <w:r w:rsidRPr="008E4F36">
        <w:rPr>
          <w:rFonts w:ascii="Dubai" w:eastAsia="Times New Roman" w:hAnsi="Dubai" w:cs="Dubai"/>
          <w:color w:val="222C31"/>
          <w:sz w:val="24"/>
          <w:szCs w:val="24"/>
          <w:shd w:val="clear" w:color="auto" w:fill="FFFFFF"/>
          <w:lang w:eastAsia="fr-FR"/>
        </w:rPr>
        <w:t>. </w:t>
      </w:r>
      <w:r w:rsidRPr="008E4F36">
        <w:rPr>
          <w:rFonts w:ascii="Dubai" w:eastAsia="Times New Roman" w:hAnsi="Dubai" w:cs="Dubai"/>
          <w:color w:val="222C31"/>
          <w:sz w:val="24"/>
          <w:szCs w:val="24"/>
          <w:shd w:val="clear" w:color="auto" w:fill="FFFFFF"/>
          <w:rtl/>
          <w:lang w:eastAsia="fr-FR"/>
        </w:rPr>
        <w:t xml:space="preserve"> أُنجز العمل باستخدام تحليل متعدد المعايير يستند إلى نظام المعلومات </w:t>
      </w:r>
      <w:r w:rsidRPr="008E4F36">
        <w:rPr>
          <w:rFonts w:ascii="Dubai" w:eastAsia="Times New Roman" w:hAnsi="Dubai" w:cs="Dubai" w:hint="cs"/>
          <w:color w:val="222C31"/>
          <w:sz w:val="24"/>
          <w:szCs w:val="24"/>
          <w:shd w:val="clear" w:color="auto" w:fill="FFFFFF"/>
          <w:rtl/>
          <w:lang w:eastAsia="fr-FR"/>
        </w:rPr>
        <w:t>الجغرافية،</w:t>
      </w:r>
      <w:r w:rsidRPr="008E4F36">
        <w:rPr>
          <w:rFonts w:ascii="Dubai" w:eastAsia="Times New Roman" w:hAnsi="Dubai" w:cs="Dubai"/>
          <w:color w:val="222C31"/>
          <w:sz w:val="24"/>
          <w:szCs w:val="24"/>
          <w:shd w:val="clear" w:color="auto" w:fill="FFFFFF"/>
          <w:rtl/>
          <w:lang w:eastAsia="fr-FR"/>
        </w:rPr>
        <w:t xml:space="preserve"> واستُخدم ما مجموعه ستة معايير لإيجاد مواقع مناسبة للتنمية المبنية</w:t>
      </w:r>
      <w:r w:rsidRPr="008E4F36">
        <w:rPr>
          <w:rFonts w:ascii="Dubai" w:eastAsia="Times New Roman" w:hAnsi="Dubai" w:cs="Dubai"/>
          <w:color w:val="222C31"/>
          <w:sz w:val="24"/>
          <w:szCs w:val="24"/>
          <w:shd w:val="clear" w:color="auto" w:fill="FFFFFF"/>
          <w:lang w:eastAsia="fr-FR"/>
        </w:rPr>
        <w:t>. </w:t>
      </w:r>
      <w:r w:rsidRPr="008E4F36">
        <w:rPr>
          <w:rFonts w:ascii="Dubai" w:eastAsia="Times New Roman" w:hAnsi="Dubai" w:cs="Dubai" w:hint="cs"/>
          <w:color w:val="222C31"/>
          <w:sz w:val="24"/>
          <w:szCs w:val="24"/>
          <w:shd w:val="clear" w:color="auto" w:fill="FFFFFF"/>
          <w:rtl/>
          <w:lang w:eastAsia="fr-FR"/>
        </w:rPr>
        <w:t xml:space="preserve"> </w:t>
      </w:r>
      <w:r w:rsidRPr="008E4F36">
        <w:rPr>
          <w:rFonts w:ascii="Dubai" w:eastAsia="Times New Roman" w:hAnsi="Dubai" w:cs="Dubai"/>
          <w:color w:val="222C31"/>
          <w:sz w:val="24"/>
          <w:szCs w:val="24"/>
          <w:shd w:val="clear" w:color="auto" w:fill="FFFFFF"/>
          <w:rtl/>
          <w:lang w:eastAsia="fr-FR"/>
        </w:rPr>
        <w:t>تم استخدام عملية التسلسل الهرمي التحليلي أو</w:t>
      </w:r>
      <w:r w:rsidRPr="008E4F36">
        <w:rPr>
          <w:rFonts w:ascii="Dubai" w:eastAsia="Times New Roman" w:hAnsi="Dubai" w:cs="Dubai"/>
          <w:color w:val="222C31"/>
          <w:sz w:val="24"/>
          <w:szCs w:val="24"/>
          <w:shd w:val="clear" w:color="auto" w:fill="FFFFFF"/>
          <w:lang w:eastAsia="fr-FR"/>
        </w:rPr>
        <w:t xml:space="preserve"> AHP</w:t>
      </w:r>
      <w:r w:rsidRPr="008E4F36">
        <w:rPr>
          <w:rFonts w:ascii="Dubai" w:eastAsia="Times New Roman" w:hAnsi="Dubai" w:cs="Dubai"/>
          <w:color w:val="222C31"/>
          <w:sz w:val="24"/>
          <w:szCs w:val="24"/>
          <w:shd w:val="clear" w:color="auto" w:fill="FFFFFF"/>
          <w:rtl/>
          <w:lang w:eastAsia="fr-FR"/>
        </w:rPr>
        <w:t xml:space="preserve"> لحساب الأوزان لكل معيار فرعي باستخدام مصفوفة مقارنة زوجية. تم إعداد خريطة الملائمة النهائية للموقع بخمس فئات مختلفة فهي: كافية للغاية، كافية، معتدلة، غير كافية وغير كافية جدا، النسبة المئوية المرتفعة للأراضي كانت في الفئة غير الكافية حيث بلغت 43.53</w:t>
      </w:r>
      <w:r w:rsidRPr="008E4F36">
        <w:rPr>
          <w:rFonts w:ascii="Dubai" w:eastAsia="Times New Roman" w:hAnsi="Dubai" w:cs="Dubai" w:hint="cs"/>
          <w:color w:val="222C31"/>
          <w:sz w:val="24"/>
          <w:szCs w:val="24"/>
          <w:shd w:val="clear" w:color="auto" w:fill="FFFFFF"/>
          <w:rtl/>
          <w:lang w:eastAsia="fr-FR"/>
        </w:rPr>
        <w:t>%،</w:t>
      </w:r>
      <w:r w:rsidRPr="008E4F36">
        <w:rPr>
          <w:rFonts w:ascii="Dubai" w:eastAsia="Times New Roman" w:hAnsi="Dubai" w:cs="Dubai"/>
          <w:color w:val="222C31"/>
          <w:sz w:val="24"/>
          <w:szCs w:val="24"/>
          <w:shd w:val="clear" w:color="auto" w:fill="FFFFFF"/>
          <w:rtl/>
          <w:lang w:eastAsia="fr-FR"/>
        </w:rPr>
        <w:t xml:space="preserve"> والتي تغطي في المقام الأول الأراضي </w:t>
      </w:r>
      <w:r w:rsidRPr="008E4F36">
        <w:rPr>
          <w:rFonts w:ascii="Dubai" w:eastAsia="Times New Roman" w:hAnsi="Dubai" w:cs="Dubai" w:hint="cs"/>
          <w:color w:val="222C31"/>
          <w:sz w:val="24"/>
          <w:szCs w:val="24"/>
          <w:shd w:val="clear" w:color="auto" w:fill="FFFFFF"/>
          <w:rtl/>
          <w:lang w:eastAsia="fr-FR"/>
        </w:rPr>
        <w:t>ذات الكثافة</w:t>
      </w:r>
      <w:r w:rsidRPr="008E4F36">
        <w:rPr>
          <w:rFonts w:ascii="Dubai" w:eastAsia="Times New Roman" w:hAnsi="Dubai" w:cs="Dubai"/>
          <w:color w:val="222C31"/>
          <w:sz w:val="24"/>
          <w:szCs w:val="24"/>
          <w:shd w:val="clear" w:color="auto" w:fill="FFFFFF"/>
          <w:rtl/>
          <w:lang w:eastAsia="fr-FR"/>
        </w:rPr>
        <w:t xml:space="preserve"> السكانية الكبرى والأراضي التي تفتقر إلى الطرقات</w:t>
      </w:r>
      <w:r w:rsidRPr="008E4F36">
        <w:rPr>
          <w:rFonts w:ascii="Dubai" w:eastAsia="Times New Roman" w:hAnsi="Dubai" w:cs="Dubai"/>
          <w:color w:val="222C31"/>
          <w:sz w:val="24"/>
          <w:szCs w:val="24"/>
          <w:shd w:val="clear" w:color="auto" w:fill="FFFFFF"/>
          <w:lang w:eastAsia="fr-FR"/>
        </w:rPr>
        <w:t>. </w:t>
      </w:r>
      <w:r w:rsidRPr="008E4F36">
        <w:rPr>
          <w:rFonts w:ascii="Dubai" w:eastAsia="Times New Roman" w:hAnsi="Dubai" w:cs="Dubai"/>
          <w:color w:val="222C31"/>
          <w:sz w:val="24"/>
          <w:szCs w:val="24"/>
          <w:shd w:val="clear" w:color="auto" w:fill="FFFFFF"/>
          <w:rtl/>
          <w:lang w:eastAsia="fr-FR"/>
        </w:rPr>
        <w:t xml:space="preserve"> إن نتائج هذا العمل ستكون مثمرة لصانعي القرار وأصحاب المصلحة والمخططين، مع تحديد المواقع المثالية لمشاريع التنمية المكثفة في المستقبل القريب</w:t>
      </w:r>
      <w:r w:rsidRPr="008E4F36">
        <w:rPr>
          <w:rFonts w:ascii="Dubai" w:eastAsia="Times New Roman" w:hAnsi="Dubai" w:cs="Dubai"/>
          <w:color w:val="222C31"/>
          <w:sz w:val="24"/>
          <w:szCs w:val="24"/>
          <w:shd w:val="clear" w:color="auto" w:fill="FFFFFF"/>
          <w:lang w:eastAsia="fr-FR"/>
        </w:rPr>
        <w:t>.</w:t>
      </w:r>
    </w:p>
    <w:p w14:paraId="04D88B2B" w14:textId="77777777" w:rsidR="00AA372A" w:rsidRPr="008E4F36" w:rsidRDefault="00AA372A" w:rsidP="00AA372A">
      <w:pPr>
        <w:bidi/>
        <w:spacing w:after="200" w:line="360" w:lineRule="auto"/>
        <w:jc w:val="both"/>
        <w:rPr>
          <w:rFonts w:ascii="Dubai" w:eastAsia="Times New Roman" w:hAnsi="Dubai" w:cs="Dubai"/>
          <w:sz w:val="24"/>
          <w:szCs w:val="24"/>
          <w:rtl/>
          <w:lang w:eastAsia="fr-FR" w:bidi="ar-DZ"/>
        </w:rPr>
      </w:pPr>
      <w:r w:rsidRPr="008E4F36">
        <w:rPr>
          <w:rFonts w:ascii="Dubai" w:eastAsia="Times New Roman" w:hAnsi="Dubai" w:cs="Dubai"/>
          <w:sz w:val="24"/>
          <w:szCs w:val="24"/>
          <w:lang w:eastAsia="fr-FR" w:bidi="ar-DZ"/>
        </w:rPr>
        <w:t xml:space="preserve"> </w:t>
      </w:r>
    </w:p>
    <w:p w14:paraId="025F94AA" w14:textId="77777777" w:rsidR="00AA372A" w:rsidRPr="008E4F36" w:rsidRDefault="00AA372A" w:rsidP="00AA372A">
      <w:pPr>
        <w:bidi/>
        <w:spacing w:after="200" w:line="360" w:lineRule="auto"/>
        <w:jc w:val="both"/>
        <w:rPr>
          <w:rFonts w:ascii="Dubai" w:eastAsia="Times New Roman" w:hAnsi="Dubai" w:cs="Dubai"/>
          <w:b/>
          <w:bCs/>
          <w:sz w:val="24"/>
          <w:szCs w:val="24"/>
          <w:rtl/>
          <w:lang w:eastAsia="fr-FR" w:bidi="ar-DZ"/>
        </w:rPr>
      </w:pPr>
      <w:r w:rsidRPr="008E4F36">
        <w:rPr>
          <w:rFonts w:ascii="Dubai" w:eastAsia="Times New Roman" w:hAnsi="Dubai" w:cs="Dubai" w:hint="cs"/>
          <w:b/>
          <w:bCs/>
          <w:sz w:val="24"/>
          <w:szCs w:val="24"/>
          <w:rtl/>
          <w:lang w:eastAsia="fr-FR" w:bidi="ar-DZ"/>
        </w:rPr>
        <w:t xml:space="preserve">الكلمات الدالة: </w:t>
      </w:r>
      <w:r w:rsidRPr="008E4F36">
        <w:rPr>
          <w:rFonts w:ascii="Dubai" w:eastAsia="Times New Roman" w:hAnsi="Dubai" w:cs="Dubai" w:hint="cs"/>
          <w:sz w:val="24"/>
          <w:szCs w:val="24"/>
          <w:rtl/>
          <w:lang w:eastAsia="fr-FR" w:bidi="ar-DZ"/>
        </w:rPr>
        <w:t>التلاحم العمراني، الطبقة السطحية الحرة، الهشاشة، تحليل متعدد العناصر، ملائمة الأراضي، متعدد المعايير، عملية التسلسل الهرمي التحليلي.</w:t>
      </w:r>
    </w:p>
    <w:p w14:paraId="27D6FF66" w14:textId="77777777" w:rsidR="00AA372A" w:rsidRPr="008E4F36" w:rsidRDefault="00AA372A" w:rsidP="00AA372A">
      <w:pPr>
        <w:spacing w:after="200" w:line="276" w:lineRule="auto"/>
        <w:rPr>
          <w:rFonts w:ascii="Times New Roman" w:eastAsia="Times New Roman" w:hAnsi="Times New Roman" w:cs="Times New Roman"/>
          <w:sz w:val="24"/>
          <w:szCs w:val="24"/>
          <w:lang w:eastAsia="fr-FR" w:bidi="ar-DZ"/>
        </w:rPr>
      </w:pPr>
    </w:p>
    <w:p w14:paraId="7E10A406" w14:textId="77777777" w:rsidR="00AA372A" w:rsidRPr="008E4F36" w:rsidRDefault="00AA372A" w:rsidP="00AA372A">
      <w:pPr>
        <w:spacing w:after="200" w:line="360" w:lineRule="auto"/>
        <w:rPr>
          <w:rFonts w:ascii="Times New Roman" w:eastAsia="Times New Roman" w:hAnsi="Times New Roman" w:cs="Times New Roman"/>
          <w:b/>
          <w:bCs/>
          <w:sz w:val="28"/>
          <w:szCs w:val="28"/>
          <w:lang w:eastAsia="fr-FR"/>
        </w:rPr>
      </w:pPr>
    </w:p>
    <w:p w14:paraId="5F718552" w14:textId="77777777" w:rsidR="00AA372A" w:rsidRPr="008E4F36" w:rsidRDefault="00AA372A" w:rsidP="00AA372A">
      <w:pPr>
        <w:spacing w:before="240" w:after="200" w:line="360" w:lineRule="auto"/>
        <w:ind w:firstLine="708"/>
        <w:jc w:val="both"/>
        <w:rPr>
          <w:rFonts w:ascii="Times New Roman" w:eastAsia="TimesNewRoman" w:hAnsi="Times New Roman" w:cs="Times New Roman"/>
          <w:sz w:val="24"/>
          <w:szCs w:val="24"/>
          <w:lang w:eastAsia="fr-FR"/>
        </w:rPr>
      </w:pPr>
    </w:p>
    <w:p w14:paraId="2A9141BA" w14:textId="77777777" w:rsidR="00AA372A" w:rsidRDefault="00AA372A" w:rsidP="00AA372A"/>
    <w:p w14:paraId="08AA9EF0" w14:textId="77777777" w:rsidR="009D355A" w:rsidRDefault="009D355A"/>
    <w:sectPr w:rsidR="009D355A" w:rsidSect="00B53B6E">
      <w:pgSz w:w="11906" w:h="16838"/>
      <w:pgMar w:top="1418" w:right="1418" w:bottom="1418"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ubai">
    <w:panose1 w:val="020B0503030403030204"/>
    <w:charset w:val="00"/>
    <w:family w:val="swiss"/>
    <w:pitch w:val="variable"/>
    <w:sig w:usb0="80002067" w:usb1="80000000" w:usb2="00000008" w:usb3="00000000" w:csb0="0000004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5A00"/>
    <w:rsid w:val="009D355A"/>
    <w:rsid w:val="009F5A00"/>
    <w:rsid w:val="00AA372A"/>
    <w:rsid w:val="00E362E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1F0426-275C-46ED-A255-846B77BFA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372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807</Words>
  <Characters>4441</Characters>
  <Application>Microsoft Office Word</Application>
  <DocSecurity>0</DocSecurity>
  <Lines>37</Lines>
  <Paragraphs>10</Paragraphs>
  <ScaleCrop>false</ScaleCrop>
  <Company/>
  <LinksUpToDate>false</LinksUpToDate>
  <CharactersWithSpaces>5238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Pavilion</dc:creator>
  <cp:keywords/>
  <dc:description/>
  <cp:lastModifiedBy>Pavilion</cp:lastModifiedBy>
  <cp:revision>2</cp:revision>
  <dcterms:created xsi:type="dcterms:W3CDTF">2022-12-27T09:42:00Z</dcterms:created>
  <dcterms:modified xsi:type="dcterms:W3CDTF">2022-12-27T09:42:00Z</dcterms:modified>
</cp:coreProperties>
</file>