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504B" w:rsidRPr="000E504B" w:rsidRDefault="000E504B" w:rsidP="000E504B">
      <w:pPr>
        <w:bidi/>
        <w:jc w:val="center"/>
        <w:rPr>
          <w:rFonts w:ascii="Traditional Arabic" w:hAnsi="Traditional Arabic" w:cs="Traditional Arabic"/>
          <w:b/>
          <w:bCs/>
          <w:sz w:val="44"/>
          <w:szCs w:val="44"/>
          <w:rtl/>
          <w:lang w:bidi="ar-DZ"/>
        </w:rPr>
      </w:pPr>
      <w:r w:rsidRPr="000E504B">
        <w:rPr>
          <w:rFonts w:ascii="Traditional Arabic" w:hAnsi="Traditional Arabic" w:cs="Traditional Arabic"/>
          <w:b/>
          <w:bCs/>
          <w:sz w:val="44"/>
          <w:szCs w:val="44"/>
          <w:rtl/>
          <w:lang w:bidi="ar-DZ"/>
        </w:rPr>
        <w:t>استراتيجيات الخطاب الإقناعي في رسائل نفح الطيب للمقري -مقاربة تداولية-</w:t>
      </w:r>
    </w:p>
    <w:p w:rsidR="00BE4767" w:rsidRDefault="00883CB2" w:rsidP="000E504B">
      <w:pPr>
        <w:bidi/>
        <w:rPr>
          <w:rFonts w:ascii="Simplified Arabic" w:hAnsi="Simplified Arabic" w:cs="Simplified Arabic"/>
          <w:b/>
          <w:bCs/>
          <w:sz w:val="40"/>
          <w:szCs w:val="40"/>
          <w:rtl/>
          <w:lang w:bidi="ar-DZ"/>
        </w:rPr>
      </w:pPr>
      <w:r>
        <w:rPr>
          <w:rFonts w:ascii="Simplified Arabic" w:hAnsi="Simplified Arabic" w:cs="Simplified Arabic" w:hint="cs"/>
          <w:b/>
          <w:bCs/>
          <w:sz w:val="40"/>
          <w:szCs w:val="40"/>
          <w:rtl/>
          <w:lang w:bidi="ar-DZ"/>
        </w:rPr>
        <w:t xml:space="preserve"> </w:t>
      </w:r>
      <w:r w:rsidR="00902AF3" w:rsidRPr="00902AF3">
        <w:rPr>
          <w:rFonts w:ascii="Simplified Arabic" w:hAnsi="Simplified Arabic" w:cs="Simplified Arabic"/>
          <w:b/>
          <w:bCs/>
          <w:sz w:val="40"/>
          <w:szCs w:val="40"/>
          <w:rtl/>
          <w:lang w:bidi="ar-DZ"/>
        </w:rPr>
        <w:t xml:space="preserve"> </w:t>
      </w:r>
      <w:r w:rsidR="00902AF3" w:rsidRPr="003979E6">
        <w:rPr>
          <w:rFonts w:ascii="Simplified Arabic" w:hAnsi="Simplified Arabic" w:cs="Simplified Arabic"/>
          <w:b/>
          <w:bCs/>
          <w:sz w:val="40"/>
          <w:szCs w:val="40"/>
          <w:u w:val="single"/>
          <w:rtl/>
          <w:lang w:bidi="ar-DZ"/>
        </w:rPr>
        <w:t>ملخص</w:t>
      </w:r>
      <w:r w:rsidR="00902AF3">
        <w:rPr>
          <w:rFonts w:ascii="Simplified Arabic" w:hAnsi="Simplified Arabic" w:cs="Simplified Arabic" w:hint="cs"/>
          <w:b/>
          <w:bCs/>
          <w:sz w:val="40"/>
          <w:szCs w:val="40"/>
          <w:rtl/>
          <w:lang w:bidi="ar-DZ"/>
        </w:rPr>
        <w:t>:</w:t>
      </w:r>
    </w:p>
    <w:p w:rsidR="003979E6" w:rsidRDefault="00902AF3" w:rsidP="00773068">
      <w:pPr>
        <w:bidi/>
        <w:ind w:firstLine="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تسعى هذه الدراسة الموسومة باستراتيجيات الخطاب الإقناعي في رسائل </w:t>
      </w:r>
      <w:r w:rsidR="00B5065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نفح الطيب</w:t>
      </w:r>
      <w:r w:rsidR="00B50659">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للمقري مقاربة تداولية، إلى الكشف عن أهم الاستراتيجيات الخطابية الإقناع</w:t>
      </w:r>
      <w:r w:rsidR="00883CB2">
        <w:rPr>
          <w:rFonts w:ascii="Simplified Arabic" w:hAnsi="Simplified Arabic" w:cs="Simplified Arabic" w:hint="cs"/>
          <w:sz w:val="32"/>
          <w:szCs w:val="32"/>
          <w:rtl/>
          <w:lang w:bidi="ar-DZ"/>
        </w:rPr>
        <w:t xml:space="preserve">ية التي تضمنتها رسائل </w:t>
      </w:r>
      <w:r w:rsidR="00722309">
        <w:rPr>
          <w:rFonts w:ascii="Simplified Arabic" w:hAnsi="Simplified Arabic" w:cs="Simplified Arabic" w:hint="cs"/>
          <w:sz w:val="32"/>
          <w:szCs w:val="32"/>
          <w:rtl/>
          <w:lang w:bidi="ar-DZ"/>
        </w:rPr>
        <w:t>"</w:t>
      </w:r>
      <w:r w:rsidR="00883CB2" w:rsidRPr="00722309">
        <w:rPr>
          <w:rFonts w:ascii="Simplified Arabic" w:hAnsi="Simplified Arabic" w:cs="Simplified Arabic" w:hint="cs"/>
          <w:b/>
          <w:bCs/>
          <w:sz w:val="32"/>
          <w:szCs w:val="32"/>
          <w:rtl/>
          <w:lang w:bidi="ar-DZ"/>
        </w:rPr>
        <w:t>نفح الطيب</w:t>
      </w:r>
      <w:r w:rsidR="00722309">
        <w:rPr>
          <w:rFonts w:ascii="Simplified Arabic" w:hAnsi="Simplified Arabic" w:cs="Simplified Arabic" w:hint="cs"/>
          <w:sz w:val="32"/>
          <w:szCs w:val="32"/>
          <w:rtl/>
          <w:lang w:bidi="ar-DZ"/>
        </w:rPr>
        <w:t>"</w:t>
      </w:r>
      <w:r w:rsidR="000A78BF">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وهما: الاستراتيجية الإقناعية والاستراتيجية التوجيهية، وذلك من خلال الوقوف عند أهم الآليات والوسائل اللغوية التي تجسدت عبرها هاتين الاستراتيجيتين وتبيان دورها الإقناعي، كما حاولنا أيضا الوقوف عند الشواهد الأدبية والشواهد الدينية التي تضمنتها الرسائل خدمة لهدفها الإقناعي وخاصة</w:t>
      </w:r>
      <w:r w:rsidR="00B50659">
        <w:rPr>
          <w:rFonts w:ascii="Simplified Arabic" w:hAnsi="Simplified Arabic" w:cs="Simplified Arabic" w:hint="cs"/>
          <w:sz w:val="32"/>
          <w:szCs w:val="32"/>
          <w:rtl/>
          <w:lang w:bidi="ar-DZ"/>
        </w:rPr>
        <w:t xml:space="preserve"> الشاهد القرآني الذي كان حضوره قويا </w:t>
      </w:r>
      <w:r>
        <w:rPr>
          <w:rFonts w:ascii="Simplified Arabic" w:hAnsi="Simplified Arabic" w:cs="Simplified Arabic" w:hint="cs"/>
          <w:sz w:val="32"/>
          <w:szCs w:val="32"/>
          <w:rtl/>
          <w:lang w:bidi="ar-DZ"/>
        </w:rPr>
        <w:t xml:space="preserve">في الرسائل وذلك </w:t>
      </w:r>
      <w:r w:rsidR="00316874">
        <w:rPr>
          <w:rFonts w:ascii="Simplified Arabic" w:hAnsi="Simplified Arabic" w:cs="Simplified Arabic" w:hint="cs"/>
          <w:sz w:val="32"/>
          <w:szCs w:val="32"/>
          <w:rtl/>
          <w:lang w:bidi="ar-DZ"/>
        </w:rPr>
        <w:t>بوصفه القوة الحجاجية الأكثر تأثيرا</w:t>
      </w:r>
      <w:r>
        <w:rPr>
          <w:rFonts w:ascii="Simplified Arabic" w:hAnsi="Simplified Arabic" w:cs="Simplified Arabic" w:hint="cs"/>
          <w:sz w:val="32"/>
          <w:szCs w:val="32"/>
          <w:rtl/>
          <w:lang w:bidi="ar-DZ"/>
        </w:rPr>
        <w:t xml:space="preserve">، معتمدين في ذلك على </w:t>
      </w:r>
      <w:r w:rsidR="00E90899">
        <w:rPr>
          <w:rFonts w:ascii="Simplified Arabic" w:hAnsi="Simplified Arabic" w:cs="Simplified Arabic" w:hint="cs"/>
          <w:sz w:val="32"/>
          <w:szCs w:val="32"/>
          <w:rtl/>
          <w:lang w:bidi="ar-DZ"/>
        </w:rPr>
        <w:t>المقاربة التداولية لما ت</w:t>
      </w:r>
      <w:r>
        <w:rPr>
          <w:rFonts w:ascii="Simplified Arabic" w:hAnsi="Simplified Arabic" w:cs="Simplified Arabic" w:hint="cs"/>
          <w:sz w:val="32"/>
          <w:szCs w:val="32"/>
          <w:rtl/>
          <w:lang w:bidi="ar-DZ"/>
        </w:rPr>
        <w:t>متلكه من أدوات وآليات منهجية تتيح لنا الوقوف عند جميع ملابسات الخطاب.</w:t>
      </w:r>
    </w:p>
    <w:p w:rsidR="00902AF3" w:rsidRPr="003979E6" w:rsidRDefault="00902AF3" w:rsidP="003979E6">
      <w:pPr>
        <w:bidi/>
        <w:jc w:val="both"/>
        <w:rPr>
          <w:rFonts w:ascii="Simplified Arabic" w:hAnsi="Simplified Arabic" w:cs="Simplified Arabic"/>
          <w:sz w:val="32"/>
          <w:szCs w:val="32"/>
          <w:rtl/>
          <w:lang w:bidi="ar-DZ"/>
        </w:rPr>
      </w:pPr>
      <w:r w:rsidRPr="003979E6">
        <w:rPr>
          <w:rFonts w:ascii="Simplified Arabic" w:hAnsi="Simplified Arabic" w:cs="Simplified Arabic" w:hint="cs"/>
          <w:b/>
          <w:bCs/>
          <w:sz w:val="32"/>
          <w:szCs w:val="32"/>
          <w:rtl/>
          <w:lang w:bidi="ar-DZ"/>
        </w:rPr>
        <w:t xml:space="preserve"> الكلمات المفتاحية:</w:t>
      </w:r>
    </w:p>
    <w:p w:rsidR="009613AC" w:rsidRPr="009613AC" w:rsidRDefault="003979E6" w:rsidP="009613AC">
      <w:pPr>
        <w:bidi/>
        <w:jc w:val="both"/>
        <w:rPr>
          <w:rFonts w:ascii="Simplified Arabic" w:hAnsi="Simplified Arabic" w:cs="Simplified Arabic"/>
          <w:sz w:val="32"/>
          <w:szCs w:val="32"/>
          <w:lang w:bidi="ar-DZ"/>
        </w:rPr>
      </w:pPr>
      <w:r>
        <w:rPr>
          <w:rFonts w:ascii="Simplified Arabic" w:hAnsi="Simplified Arabic" w:cs="Simplified Arabic"/>
          <w:sz w:val="32"/>
          <w:szCs w:val="32"/>
          <w:lang w:bidi="ar-DZ"/>
        </w:rPr>
        <w:t xml:space="preserve">  </w:t>
      </w:r>
      <w:r w:rsidR="00902AF3">
        <w:rPr>
          <w:rFonts w:ascii="Simplified Arabic" w:hAnsi="Simplified Arabic" w:cs="Simplified Arabic" w:hint="cs"/>
          <w:sz w:val="32"/>
          <w:szCs w:val="32"/>
          <w:rtl/>
          <w:lang w:bidi="ar-DZ"/>
        </w:rPr>
        <w:t xml:space="preserve"> استراتيجيات </w:t>
      </w:r>
      <w:r w:rsidR="00882285">
        <w:rPr>
          <w:rFonts w:ascii="Simplified Arabic" w:hAnsi="Simplified Arabic" w:cs="Simplified Arabic" w:hint="cs"/>
          <w:sz w:val="32"/>
          <w:szCs w:val="32"/>
          <w:rtl/>
          <w:lang w:bidi="ar-DZ"/>
        </w:rPr>
        <w:t>الخطاب،</w:t>
      </w:r>
      <w:r w:rsidR="00722309">
        <w:rPr>
          <w:rFonts w:ascii="Simplified Arabic" w:hAnsi="Simplified Arabic" w:cs="Simplified Arabic" w:hint="cs"/>
          <w:sz w:val="32"/>
          <w:szCs w:val="32"/>
          <w:rtl/>
          <w:lang w:bidi="ar-DZ"/>
        </w:rPr>
        <w:t xml:space="preserve"> الرسائل،</w:t>
      </w:r>
      <w:r w:rsidR="00EF6662">
        <w:rPr>
          <w:rFonts w:ascii="Simplified Arabic" w:hAnsi="Simplified Arabic" w:cs="Simplified Arabic" w:hint="cs"/>
          <w:sz w:val="32"/>
          <w:szCs w:val="32"/>
          <w:rtl/>
          <w:lang w:bidi="ar-DZ"/>
        </w:rPr>
        <w:t xml:space="preserve"> نفح الطيب، </w:t>
      </w:r>
      <w:r w:rsidR="00942B1B">
        <w:rPr>
          <w:rFonts w:ascii="Simplified Arabic" w:hAnsi="Simplified Arabic" w:cs="Simplified Arabic" w:hint="cs"/>
          <w:sz w:val="32"/>
          <w:szCs w:val="32"/>
          <w:rtl/>
          <w:lang w:bidi="ar-DZ"/>
        </w:rPr>
        <w:t xml:space="preserve">المقاربة </w:t>
      </w:r>
      <w:r w:rsidR="00902AF3">
        <w:rPr>
          <w:rFonts w:ascii="Simplified Arabic" w:hAnsi="Simplified Arabic" w:cs="Simplified Arabic" w:hint="cs"/>
          <w:sz w:val="32"/>
          <w:szCs w:val="32"/>
          <w:rtl/>
          <w:lang w:bidi="ar-DZ"/>
        </w:rPr>
        <w:t>التداولي</w:t>
      </w:r>
      <w:r w:rsidR="00EF6662">
        <w:rPr>
          <w:rFonts w:ascii="Simplified Arabic" w:hAnsi="Simplified Arabic" w:cs="Simplified Arabic" w:hint="cs"/>
          <w:sz w:val="32"/>
          <w:szCs w:val="32"/>
          <w:rtl/>
          <w:lang w:bidi="ar-DZ"/>
        </w:rPr>
        <w:t>ة</w:t>
      </w:r>
      <w:r w:rsidR="00902AF3">
        <w:rPr>
          <w:rFonts w:ascii="Simplified Arabic" w:hAnsi="Simplified Arabic" w:cs="Simplified Arabic" w:hint="cs"/>
          <w:sz w:val="32"/>
          <w:szCs w:val="32"/>
          <w:rtl/>
          <w:lang w:bidi="ar-DZ"/>
        </w:rPr>
        <w:t>.</w:t>
      </w:r>
    </w:p>
    <w:p w:rsidR="008A1A83" w:rsidRPr="009613AC" w:rsidRDefault="008A1A83" w:rsidP="008A1A83">
      <w:pPr>
        <w:jc w:val="both"/>
        <w:rPr>
          <w:rFonts w:asciiTheme="majorBidi" w:hAnsiTheme="majorBidi" w:cstheme="majorBidi"/>
          <w:b/>
          <w:bCs/>
          <w:sz w:val="32"/>
          <w:szCs w:val="32"/>
          <w:lang w:val="en-US" w:bidi="ar-DZ"/>
        </w:rPr>
      </w:pPr>
      <w:r w:rsidRPr="009613AC">
        <w:rPr>
          <w:rFonts w:asciiTheme="majorBidi" w:hAnsiTheme="majorBidi" w:cstheme="majorBidi"/>
          <w:b/>
          <w:bCs/>
          <w:sz w:val="32"/>
          <w:szCs w:val="32"/>
          <w:lang w:val="en-US" w:bidi="ar-DZ"/>
        </w:rPr>
        <w:t>Abstract</w:t>
      </w:r>
      <w:r w:rsidRPr="009613AC">
        <w:rPr>
          <w:rFonts w:asciiTheme="majorBidi" w:hAnsiTheme="majorBidi" w:cstheme="majorBidi"/>
          <w:b/>
          <w:bCs/>
          <w:sz w:val="32"/>
          <w:szCs w:val="32"/>
          <w:rtl/>
          <w:lang w:bidi="ar-DZ"/>
        </w:rPr>
        <w:t xml:space="preserve">: </w:t>
      </w:r>
    </w:p>
    <w:p w:rsidR="008A1A83" w:rsidRPr="009613AC" w:rsidRDefault="00773068" w:rsidP="008A1A83">
      <w:pPr>
        <w:jc w:val="both"/>
        <w:rPr>
          <w:rFonts w:asciiTheme="majorBidi" w:hAnsiTheme="majorBidi" w:cstheme="majorBidi"/>
          <w:sz w:val="32"/>
          <w:szCs w:val="32"/>
          <w:rtl/>
          <w:lang w:bidi="ar-DZ"/>
        </w:rPr>
      </w:pPr>
      <w:r w:rsidRPr="009613AC">
        <w:rPr>
          <w:rFonts w:asciiTheme="majorBidi" w:hAnsiTheme="majorBidi" w:cstheme="majorBidi"/>
          <w:sz w:val="32"/>
          <w:szCs w:val="32"/>
          <w:rtl/>
          <w:lang w:bidi="ar-DZ"/>
        </w:rPr>
        <w:t xml:space="preserve"> </w:t>
      </w:r>
      <w:r w:rsidRPr="009613AC">
        <w:rPr>
          <w:rFonts w:asciiTheme="majorBidi" w:hAnsiTheme="majorBidi" w:cstheme="majorBidi"/>
          <w:sz w:val="32"/>
          <w:szCs w:val="32"/>
          <w:lang w:bidi="ar-DZ"/>
        </w:rPr>
        <w:tab/>
      </w:r>
      <w:r w:rsidR="008A1A83" w:rsidRPr="009613AC">
        <w:rPr>
          <w:rFonts w:asciiTheme="majorBidi" w:hAnsiTheme="majorBidi" w:cstheme="majorBidi"/>
          <w:sz w:val="32"/>
          <w:szCs w:val="32"/>
          <w:lang w:val="en-US" w:bidi="ar-DZ"/>
        </w:rPr>
        <w:t xml:space="preserve">The current study entitled ‘Persuasive Discourse Strategies in the Letters of "Nafh at-Teeb" by Al-Muqri, a Pragmatic Approach’ seeks to reveal the most important persuasive rhetorical strategies in "Nafh al-Tayyib" letters, mainly: the persuasive and the guiding strategies, highlighting the most important linguistic mechanisms and means through which these strategies are formed, in addition to identifying their persuasive </w:t>
      </w:r>
      <w:r w:rsidR="008A1A83" w:rsidRPr="009613AC">
        <w:rPr>
          <w:rFonts w:asciiTheme="majorBidi" w:hAnsiTheme="majorBidi" w:cstheme="majorBidi"/>
          <w:sz w:val="32"/>
          <w:szCs w:val="32"/>
          <w:lang w:val="en-US" w:bidi="ar-DZ"/>
        </w:rPr>
        <w:lastRenderedPageBreak/>
        <w:t xml:space="preserve">role. Accordingly, we tried to determine both literary and religious evidences used in the letters in order to serve its persuasive goal, especially the Quranic evidence which was frequently used as the most influential argumentative element, relying on the pragmatic approach due to its tools and methodological mechanisms that allow us having a look at all the discourse contexts. </w:t>
      </w:r>
    </w:p>
    <w:p w:rsidR="00773068" w:rsidRPr="009613AC" w:rsidRDefault="00773068" w:rsidP="008A1A83">
      <w:pPr>
        <w:jc w:val="both"/>
        <w:rPr>
          <w:rFonts w:asciiTheme="majorBidi" w:hAnsiTheme="majorBidi" w:cstheme="majorBidi"/>
          <w:sz w:val="32"/>
          <w:szCs w:val="32"/>
          <w:lang w:val="en-US" w:bidi="ar-DZ"/>
        </w:rPr>
      </w:pPr>
      <w:r w:rsidRPr="009613AC">
        <w:rPr>
          <w:rFonts w:asciiTheme="majorBidi" w:hAnsiTheme="majorBidi" w:cstheme="majorBidi"/>
          <w:b/>
          <w:bCs/>
          <w:sz w:val="32"/>
          <w:szCs w:val="32"/>
          <w:lang w:val="en-US" w:bidi="ar-DZ"/>
        </w:rPr>
        <w:t>key</w:t>
      </w:r>
      <w:r w:rsidR="008A1A83" w:rsidRPr="009613AC">
        <w:rPr>
          <w:rFonts w:asciiTheme="majorBidi" w:hAnsiTheme="majorBidi" w:cstheme="majorBidi"/>
          <w:b/>
          <w:bCs/>
          <w:sz w:val="32"/>
          <w:szCs w:val="32"/>
          <w:lang w:val="en-US" w:bidi="ar-DZ"/>
        </w:rPr>
        <w:t>words:</w:t>
      </w:r>
      <w:r w:rsidR="008A1A83" w:rsidRPr="009613AC">
        <w:rPr>
          <w:rFonts w:asciiTheme="majorBidi" w:hAnsiTheme="majorBidi" w:cstheme="majorBidi"/>
          <w:sz w:val="32"/>
          <w:szCs w:val="32"/>
          <w:lang w:val="en-US" w:bidi="ar-DZ"/>
        </w:rPr>
        <w:t xml:space="preserve"> </w:t>
      </w:r>
    </w:p>
    <w:p w:rsidR="008A1A83" w:rsidRPr="009613AC" w:rsidRDefault="008A1A83" w:rsidP="008A1A83">
      <w:pPr>
        <w:jc w:val="both"/>
        <w:rPr>
          <w:rFonts w:asciiTheme="majorBidi" w:hAnsiTheme="majorBidi" w:cstheme="majorBidi"/>
          <w:sz w:val="32"/>
          <w:szCs w:val="32"/>
          <w:rtl/>
          <w:lang w:bidi="ar-DZ"/>
        </w:rPr>
      </w:pPr>
      <w:r w:rsidRPr="009613AC">
        <w:rPr>
          <w:rFonts w:asciiTheme="majorBidi" w:hAnsiTheme="majorBidi" w:cstheme="majorBidi"/>
          <w:sz w:val="32"/>
          <w:szCs w:val="32"/>
          <w:lang w:val="en-US" w:bidi="ar-DZ"/>
        </w:rPr>
        <w:t>Discourse strategies, letters, Nafh at-Teeb, pragmatic approach.</w:t>
      </w:r>
    </w:p>
    <w:p w:rsidR="009613AC" w:rsidRDefault="009613AC" w:rsidP="00942BDC">
      <w:pPr>
        <w:jc w:val="both"/>
        <w:rPr>
          <w:rFonts w:ascii="Traditional Arabic" w:hAnsi="Traditional Arabic" w:cs="Traditional Arabic"/>
          <w:sz w:val="40"/>
          <w:szCs w:val="40"/>
          <w:lang w:val="en-US" w:bidi="ar-DZ"/>
        </w:rPr>
      </w:pPr>
    </w:p>
    <w:p w:rsidR="00942BDC" w:rsidRPr="008D7495" w:rsidRDefault="00942BDC" w:rsidP="00942BDC">
      <w:pPr>
        <w:jc w:val="both"/>
        <w:rPr>
          <w:rFonts w:asciiTheme="majorBidi" w:hAnsiTheme="majorBidi" w:cstheme="majorBidi"/>
          <w:b/>
          <w:bCs/>
          <w:sz w:val="32"/>
          <w:szCs w:val="32"/>
          <w:lang w:val="en-US" w:bidi="ar-DZ"/>
        </w:rPr>
      </w:pPr>
      <w:r w:rsidRPr="008D7495">
        <w:rPr>
          <w:rFonts w:asciiTheme="majorBidi" w:hAnsiTheme="majorBidi" w:cstheme="majorBidi"/>
          <w:b/>
          <w:bCs/>
          <w:sz w:val="32"/>
          <w:szCs w:val="32"/>
          <w:lang w:val="en-US" w:bidi="ar-DZ"/>
        </w:rPr>
        <w:t xml:space="preserve">  </w:t>
      </w:r>
      <w:r w:rsidR="008D7495" w:rsidRPr="008D7495">
        <w:rPr>
          <w:rFonts w:asciiTheme="majorBidi" w:hAnsiTheme="majorBidi" w:cstheme="majorBidi"/>
          <w:b/>
          <w:bCs/>
          <w:sz w:val="32"/>
          <w:szCs w:val="32"/>
          <w:lang w:val="en-US" w:bidi="ar-DZ"/>
        </w:rPr>
        <w:t>Résumé</w:t>
      </w:r>
      <w:r w:rsidRPr="008D7495">
        <w:rPr>
          <w:rFonts w:asciiTheme="majorBidi" w:hAnsiTheme="majorBidi" w:cstheme="majorBidi"/>
          <w:b/>
          <w:bCs/>
          <w:sz w:val="32"/>
          <w:szCs w:val="32"/>
          <w:lang w:val="en-US" w:bidi="ar-DZ"/>
        </w:rPr>
        <w:t xml:space="preserve">: </w:t>
      </w:r>
      <w:r w:rsidRPr="008D7495">
        <w:rPr>
          <w:rFonts w:asciiTheme="majorBidi" w:hAnsiTheme="majorBidi" w:cstheme="majorBidi"/>
          <w:b/>
          <w:bCs/>
          <w:sz w:val="32"/>
          <w:szCs w:val="32"/>
          <w:lang w:val="en-US" w:bidi="ar-DZ"/>
        </w:rPr>
        <w:tab/>
      </w:r>
    </w:p>
    <w:p w:rsidR="00942BDC" w:rsidRPr="009613AC" w:rsidRDefault="00942BDC" w:rsidP="00942BDC">
      <w:pPr>
        <w:jc w:val="both"/>
        <w:rPr>
          <w:rFonts w:asciiTheme="majorBidi" w:hAnsiTheme="majorBidi" w:cstheme="majorBidi"/>
          <w:sz w:val="32"/>
          <w:szCs w:val="32"/>
          <w:lang w:val="en-US" w:bidi="ar-DZ"/>
        </w:rPr>
      </w:pPr>
      <w:r w:rsidRPr="009613AC">
        <w:rPr>
          <w:rFonts w:asciiTheme="majorBidi" w:hAnsiTheme="majorBidi" w:cstheme="majorBidi"/>
          <w:sz w:val="32"/>
          <w:szCs w:val="32"/>
          <w:lang w:val="en-US" w:bidi="ar-DZ"/>
        </w:rPr>
        <w:t xml:space="preserve">    Cette étude, qui est étiquetée avec les stratégies de discours persuasif dans les lettres "Nafh Al-Tayyib" d'Al-Maqri, cherche une approche pragmatique. Afin de révéler les stratégies rhétoriques persuasives les plus importantes incluses dans les messages de « Naffh al-Tayyib », à savoir : la stratégie persuasive et la stratégie guidant, en se tenant aux ; Nous avons également essayé de nous appuyer sur les preuves littéraires et religieuses incluses dans les messages afin de servir son objectif persuasif, en particulier le témoignage coranique, dont la présence était forte dans les messages, comme la force argumentative la plus influente, s'appuyant sur l'approche délibérative. pour ses outils et mécanismes méthodologiques qui permettent de se tenir sur toutes les circonstances du discours.</w:t>
      </w:r>
    </w:p>
    <w:p w:rsidR="00942BDC" w:rsidRPr="009613AC" w:rsidRDefault="00942BDC" w:rsidP="009613AC">
      <w:pPr>
        <w:ind w:firstLine="708"/>
        <w:jc w:val="both"/>
        <w:rPr>
          <w:rFonts w:asciiTheme="majorBidi" w:hAnsiTheme="majorBidi" w:cstheme="majorBidi"/>
          <w:sz w:val="32"/>
          <w:szCs w:val="32"/>
          <w:lang w:val="en-US" w:bidi="ar-DZ"/>
        </w:rPr>
      </w:pPr>
    </w:p>
    <w:p w:rsidR="00942BDC" w:rsidRPr="000E504B" w:rsidRDefault="00942BDC" w:rsidP="00942BDC">
      <w:pPr>
        <w:jc w:val="both"/>
        <w:rPr>
          <w:rFonts w:asciiTheme="majorBidi" w:hAnsiTheme="majorBidi" w:cstheme="majorBidi"/>
          <w:b/>
          <w:bCs/>
          <w:sz w:val="32"/>
          <w:szCs w:val="32"/>
          <w:lang w:val="en-US" w:bidi="ar-DZ"/>
        </w:rPr>
      </w:pPr>
      <w:r w:rsidRPr="000E504B">
        <w:rPr>
          <w:rFonts w:asciiTheme="majorBidi" w:hAnsiTheme="majorBidi" w:cstheme="majorBidi"/>
          <w:b/>
          <w:bCs/>
          <w:sz w:val="32"/>
          <w:szCs w:val="32"/>
          <w:lang w:val="en-US" w:bidi="ar-DZ"/>
        </w:rPr>
        <w:t xml:space="preserve">   les mots clés:</w:t>
      </w:r>
      <w:bookmarkStart w:id="0" w:name="_GoBack"/>
      <w:bookmarkEnd w:id="0"/>
    </w:p>
    <w:p w:rsidR="00957070" w:rsidRPr="009613AC" w:rsidRDefault="009613AC" w:rsidP="00942BDC">
      <w:pPr>
        <w:jc w:val="both"/>
        <w:rPr>
          <w:rFonts w:asciiTheme="majorBidi" w:hAnsiTheme="majorBidi" w:cstheme="majorBidi"/>
          <w:sz w:val="32"/>
          <w:szCs w:val="32"/>
          <w:lang w:val="en-US" w:bidi="ar-DZ"/>
        </w:rPr>
      </w:pPr>
      <w:r>
        <w:rPr>
          <w:rFonts w:asciiTheme="majorBidi" w:hAnsiTheme="majorBidi" w:cstheme="majorBidi"/>
          <w:sz w:val="32"/>
          <w:szCs w:val="32"/>
          <w:lang w:val="en-US" w:bidi="ar-DZ"/>
        </w:rPr>
        <w:t>Stratégies de discours</w:t>
      </w:r>
      <w:r w:rsidR="00942BDC" w:rsidRPr="009613AC">
        <w:rPr>
          <w:rFonts w:asciiTheme="majorBidi" w:hAnsiTheme="majorBidi" w:cstheme="majorBidi"/>
          <w:sz w:val="32"/>
          <w:szCs w:val="32"/>
          <w:lang w:val="en-US" w:bidi="ar-DZ"/>
        </w:rPr>
        <w:t>, les lettres, Nafh Al-Tayyib d'Al-Maqri, approche pragmatique.</w:t>
      </w:r>
    </w:p>
    <w:sectPr w:rsidR="00957070" w:rsidRPr="009613AC" w:rsidSect="00073630">
      <w:pgSz w:w="11906" w:h="16838"/>
      <w:pgMar w:top="1440" w:right="1800" w:bottom="1440" w:left="1800" w:header="708" w:footer="708" w:gutter="0"/>
      <w:pgNumType w:start="25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1EFD" w:rsidRDefault="00B51EFD" w:rsidP="00D22998">
      <w:pPr>
        <w:spacing w:after="0" w:line="240" w:lineRule="auto"/>
      </w:pPr>
      <w:r>
        <w:separator/>
      </w:r>
    </w:p>
  </w:endnote>
  <w:endnote w:type="continuationSeparator" w:id="0">
    <w:p w:rsidR="00B51EFD" w:rsidRDefault="00B51EFD" w:rsidP="00D229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1EFD" w:rsidRDefault="00B51EFD" w:rsidP="00D22998">
      <w:pPr>
        <w:spacing w:after="0" w:line="240" w:lineRule="auto"/>
      </w:pPr>
      <w:r>
        <w:separator/>
      </w:r>
    </w:p>
  </w:footnote>
  <w:footnote w:type="continuationSeparator" w:id="0">
    <w:p w:rsidR="00B51EFD" w:rsidRDefault="00B51EFD" w:rsidP="00D2299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AF3"/>
    <w:rsid w:val="00007E6B"/>
    <w:rsid w:val="00073630"/>
    <w:rsid w:val="000A78BF"/>
    <w:rsid w:val="000C50F2"/>
    <w:rsid w:val="000E504B"/>
    <w:rsid w:val="00210448"/>
    <w:rsid w:val="00316874"/>
    <w:rsid w:val="003979E6"/>
    <w:rsid w:val="003D1C24"/>
    <w:rsid w:val="003D43E5"/>
    <w:rsid w:val="004F0B22"/>
    <w:rsid w:val="00513E63"/>
    <w:rsid w:val="00633CD1"/>
    <w:rsid w:val="006C0AF1"/>
    <w:rsid w:val="00722309"/>
    <w:rsid w:val="00773068"/>
    <w:rsid w:val="00882285"/>
    <w:rsid w:val="00883CB2"/>
    <w:rsid w:val="008A1A83"/>
    <w:rsid w:val="008D7495"/>
    <w:rsid w:val="008F0146"/>
    <w:rsid w:val="00902AF3"/>
    <w:rsid w:val="00942B1B"/>
    <w:rsid w:val="00942BDC"/>
    <w:rsid w:val="00957070"/>
    <w:rsid w:val="009613AC"/>
    <w:rsid w:val="009D305B"/>
    <w:rsid w:val="00A271DB"/>
    <w:rsid w:val="00A35FB1"/>
    <w:rsid w:val="00AB37B7"/>
    <w:rsid w:val="00AD0384"/>
    <w:rsid w:val="00B50659"/>
    <w:rsid w:val="00B51EFD"/>
    <w:rsid w:val="00BA6397"/>
    <w:rsid w:val="00D22998"/>
    <w:rsid w:val="00D364C6"/>
    <w:rsid w:val="00E1534A"/>
    <w:rsid w:val="00E1737B"/>
    <w:rsid w:val="00E37375"/>
    <w:rsid w:val="00E90899"/>
    <w:rsid w:val="00EF6662"/>
    <w:rsid w:val="00F32A3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03169B3-4DAE-4792-8760-B2B385B7C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22998"/>
    <w:pPr>
      <w:tabs>
        <w:tab w:val="center" w:pos="4153"/>
        <w:tab w:val="right" w:pos="8306"/>
      </w:tabs>
      <w:spacing w:after="0" w:line="240" w:lineRule="auto"/>
    </w:pPr>
  </w:style>
  <w:style w:type="character" w:customStyle="1" w:styleId="En-tteCar">
    <w:name w:val="En-tête Car"/>
    <w:basedOn w:val="Policepardfaut"/>
    <w:link w:val="En-tte"/>
    <w:uiPriority w:val="99"/>
    <w:rsid w:val="00D22998"/>
  </w:style>
  <w:style w:type="paragraph" w:styleId="Pieddepage">
    <w:name w:val="footer"/>
    <w:basedOn w:val="Normal"/>
    <w:link w:val="PieddepageCar"/>
    <w:uiPriority w:val="99"/>
    <w:unhideWhenUsed/>
    <w:rsid w:val="00D22998"/>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229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0867764">
      <w:bodyDiv w:val="1"/>
      <w:marLeft w:val="0"/>
      <w:marRight w:val="0"/>
      <w:marTop w:val="0"/>
      <w:marBottom w:val="0"/>
      <w:divBdr>
        <w:top w:val="none" w:sz="0" w:space="0" w:color="auto"/>
        <w:left w:val="none" w:sz="0" w:space="0" w:color="auto"/>
        <w:bottom w:val="none" w:sz="0" w:space="0" w:color="auto"/>
        <w:right w:val="none" w:sz="0" w:space="0" w:color="auto"/>
      </w:divBdr>
    </w:div>
    <w:div w:id="155192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406</Words>
  <Characters>2238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AMD</cp:lastModifiedBy>
  <cp:revision>6</cp:revision>
  <cp:lastPrinted>2022-06-29T10:22:00Z</cp:lastPrinted>
  <dcterms:created xsi:type="dcterms:W3CDTF">2022-06-29T10:22:00Z</dcterms:created>
  <dcterms:modified xsi:type="dcterms:W3CDTF">2022-06-29T11:08:00Z</dcterms:modified>
</cp:coreProperties>
</file>