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5C87" w:rsidRPr="00C02129" w:rsidRDefault="00171F11" w:rsidP="006D5C87">
      <w:pPr>
        <w:bidi/>
        <w:jc w:val="lowKashida"/>
        <w:rPr>
          <w:rFonts w:ascii="Traditional Arabic" w:hAnsi="Traditional Arabic" w:cs="Traditional Arabic"/>
          <w:b/>
          <w:bCs/>
          <w:sz w:val="32"/>
          <w:szCs w:val="32"/>
          <w:rtl/>
          <w:lang w:bidi="ar-DZ"/>
        </w:rPr>
      </w:pPr>
      <w:proofErr w:type="gramStart"/>
      <w:r w:rsidRPr="00C02129">
        <w:rPr>
          <w:rFonts w:ascii="Traditional Arabic" w:hAnsi="Traditional Arabic" w:cs="Traditional Arabic" w:hint="cs"/>
          <w:b/>
          <w:bCs/>
          <w:sz w:val="32"/>
          <w:szCs w:val="32"/>
          <w:rtl/>
          <w:lang w:bidi="ar-DZ"/>
        </w:rPr>
        <w:t>الملخص</w:t>
      </w:r>
      <w:proofErr w:type="gramEnd"/>
      <w:r w:rsidR="00FF63BC" w:rsidRPr="00C02129">
        <w:rPr>
          <w:rFonts w:ascii="Traditional Arabic" w:hAnsi="Traditional Arabic" w:cs="Traditional Arabic" w:hint="cs"/>
          <w:b/>
          <w:bCs/>
          <w:sz w:val="32"/>
          <w:szCs w:val="32"/>
          <w:rtl/>
          <w:lang w:bidi="ar-DZ"/>
        </w:rPr>
        <w:t>:</w:t>
      </w:r>
    </w:p>
    <w:p w:rsidR="00FF63BC" w:rsidRDefault="00FF63BC" w:rsidP="00ED35A0">
      <w:pPr>
        <w:bidi/>
        <w:jc w:val="mediumKashida"/>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تعد</w:t>
      </w:r>
      <w:proofErr w:type="gramEnd"/>
      <w:r>
        <w:rPr>
          <w:rFonts w:ascii="Traditional Arabic" w:hAnsi="Traditional Arabic" w:cs="Traditional Arabic" w:hint="cs"/>
          <w:sz w:val="32"/>
          <w:szCs w:val="32"/>
          <w:rtl/>
          <w:lang w:bidi="ar-DZ"/>
        </w:rPr>
        <w:t xml:space="preserve"> المحاكمة أمام القضاء العسكري من أخطر المحاكمات الجزائية على </w:t>
      </w:r>
      <w:proofErr w:type="spellStart"/>
      <w:r>
        <w:rPr>
          <w:rFonts w:ascii="Traditional Arabic" w:hAnsi="Traditional Arabic" w:cs="Traditional Arabic" w:hint="cs"/>
          <w:sz w:val="32"/>
          <w:szCs w:val="32"/>
          <w:rtl/>
          <w:lang w:bidi="ar-DZ"/>
        </w:rPr>
        <w:t>المتهم،</w:t>
      </w:r>
      <w:proofErr w:type="spellEnd"/>
      <w:r>
        <w:rPr>
          <w:rFonts w:ascii="Traditional Arabic" w:hAnsi="Traditional Arabic" w:cs="Traditional Arabic" w:hint="cs"/>
          <w:sz w:val="32"/>
          <w:szCs w:val="32"/>
          <w:rtl/>
          <w:lang w:bidi="ar-DZ"/>
        </w:rPr>
        <w:t xml:space="preserve"> لما لهذا القضاء من طابع استثنائي و </w:t>
      </w:r>
      <w:proofErr w:type="spellStart"/>
      <w:r>
        <w:rPr>
          <w:rFonts w:ascii="Traditional Arabic" w:hAnsi="Traditional Arabic" w:cs="Traditional Arabic" w:hint="cs"/>
          <w:sz w:val="32"/>
          <w:szCs w:val="32"/>
          <w:rtl/>
          <w:lang w:bidi="ar-DZ"/>
        </w:rPr>
        <w:t>خاص،</w:t>
      </w:r>
      <w:proofErr w:type="spellEnd"/>
      <w:r>
        <w:rPr>
          <w:rFonts w:ascii="Traditional Arabic" w:hAnsi="Traditional Arabic" w:cs="Traditional Arabic" w:hint="cs"/>
          <w:sz w:val="32"/>
          <w:szCs w:val="32"/>
          <w:rtl/>
          <w:lang w:bidi="ar-DZ"/>
        </w:rPr>
        <w:t xml:space="preserve"> هذه الخصوصية تشمل أحكامه و </w:t>
      </w:r>
      <w:proofErr w:type="spellStart"/>
      <w:r>
        <w:rPr>
          <w:rFonts w:ascii="Traditional Arabic" w:hAnsi="Traditional Arabic" w:cs="Traditional Arabic" w:hint="cs"/>
          <w:sz w:val="32"/>
          <w:szCs w:val="32"/>
          <w:rtl/>
          <w:lang w:bidi="ar-DZ"/>
        </w:rPr>
        <w:t>قواعده،</w:t>
      </w:r>
      <w:proofErr w:type="spellEnd"/>
      <w:r>
        <w:rPr>
          <w:rFonts w:ascii="Traditional Arabic" w:hAnsi="Traditional Arabic" w:cs="Traditional Arabic" w:hint="cs"/>
          <w:sz w:val="32"/>
          <w:szCs w:val="32"/>
          <w:rtl/>
          <w:lang w:bidi="ar-DZ"/>
        </w:rPr>
        <w:t xml:space="preserve"> قانونه و قضاءه المستقل عن قواعد القانون العام.</w:t>
      </w:r>
    </w:p>
    <w:p w:rsidR="00990C0C" w:rsidRDefault="00FF63BC" w:rsidP="00ED35A0">
      <w:pPr>
        <w:bidi/>
        <w:jc w:val="medium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w:t>
      </w:r>
      <w:proofErr w:type="gramStart"/>
      <w:r>
        <w:rPr>
          <w:rFonts w:ascii="Traditional Arabic" w:hAnsi="Traditional Arabic" w:cs="Traditional Arabic" w:hint="cs"/>
          <w:sz w:val="32"/>
          <w:szCs w:val="32"/>
          <w:rtl/>
          <w:lang w:bidi="ar-DZ"/>
        </w:rPr>
        <w:t>لما</w:t>
      </w:r>
      <w:proofErr w:type="gramEnd"/>
      <w:r>
        <w:rPr>
          <w:rFonts w:ascii="Traditional Arabic" w:hAnsi="Traditional Arabic" w:cs="Traditional Arabic" w:hint="cs"/>
          <w:sz w:val="32"/>
          <w:szCs w:val="32"/>
          <w:rtl/>
          <w:lang w:bidi="ar-DZ"/>
        </w:rPr>
        <w:t xml:space="preserve"> كان الأمر </w:t>
      </w:r>
      <w:proofErr w:type="spellStart"/>
      <w:r>
        <w:rPr>
          <w:rFonts w:ascii="Traditional Arabic" w:hAnsi="Traditional Arabic" w:cs="Traditional Arabic" w:hint="cs"/>
          <w:sz w:val="32"/>
          <w:szCs w:val="32"/>
          <w:rtl/>
          <w:lang w:bidi="ar-DZ"/>
        </w:rPr>
        <w:t>كذلك،</w:t>
      </w:r>
      <w:proofErr w:type="spellEnd"/>
      <w:r>
        <w:rPr>
          <w:rFonts w:ascii="Traditional Arabic" w:hAnsi="Traditional Arabic" w:cs="Traditional Arabic" w:hint="cs"/>
          <w:sz w:val="32"/>
          <w:szCs w:val="32"/>
          <w:rtl/>
          <w:lang w:bidi="ar-DZ"/>
        </w:rPr>
        <w:t xml:space="preserve"> بات من الضروري أن يتمتع المتهم المتابع أمام القضاء العسكري بكافة الحقوق و الضمانات التي تكفل له محاكمة عادلة و </w:t>
      </w:r>
      <w:proofErr w:type="spellStart"/>
      <w:r>
        <w:rPr>
          <w:rFonts w:ascii="Traditional Arabic" w:hAnsi="Traditional Arabic" w:cs="Traditional Arabic" w:hint="cs"/>
          <w:sz w:val="32"/>
          <w:szCs w:val="32"/>
          <w:rtl/>
          <w:lang w:bidi="ar-DZ"/>
        </w:rPr>
        <w:t>منصفة،</w:t>
      </w:r>
      <w:proofErr w:type="spellEnd"/>
      <w:r>
        <w:rPr>
          <w:rFonts w:ascii="Traditional Arabic" w:hAnsi="Traditional Arabic" w:cs="Traditional Arabic" w:hint="cs"/>
          <w:sz w:val="32"/>
          <w:szCs w:val="32"/>
          <w:rtl/>
          <w:lang w:bidi="ar-DZ"/>
        </w:rPr>
        <w:t xml:space="preserve"> يحاط في جميع </w:t>
      </w:r>
      <w:r w:rsidR="00990C0C">
        <w:rPr>
          <w:rFonts w:ascii="Traditional Arabic" w:hAnsi="Traditional Arabic" w:cs="Traditional Arabic" w:hint="cs"/>
          <w:sz w:val="32"/>
          <w:szCs w:val="32"/>
          <w:rtl/>
          <w:lang w:bidi="ar-DZ"/>
        </w:rPr>
        <w:t>مراحلها بالحماية القانونية اللازمة لتعزيز قرينة البراءة المفترضة فيه.</w:t>
      </w:r>
    </w:p>
    <w:p w:rsidR="00FF63BC" w:rsidRDefault="00990C0C" w:rsidP="008B1EF9">
      <w:pPr>
        <w:bidi/>
        <w:jc w:val="high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هذه </w:t>
      </w:r>
      <w:proofErr w:type="spellStart"/>
      <w:r>
        <w:rPr>
          <w:rFonts w:ascii="Traditional Arabic" w:hAnsi="Traditional Arabic" w:cs="Traditional Arabic" w:hint="cs"/>
          <w:sz w:val="32"/>
          <w:szCs w:val="32"/>
          <w:rtl/>
          <w:lang w:bidi="ar-DZ"/>
        </w:rPr>
        <w:t>الضمانات،</w:t>
      </w:r>
      <w:proofErr w:type="spellEnd"/>
      <w:r>
        <w:rPr>
          <w:rFonts w:ascii="Traditional Arabic" w:hAnsi="Traditional Arabic" w:cs="Traditional Arabic" w:hint="cs"/>
          <w:sz w:val="32"/>
          <w:szCs w:val="32"/>
          <w:rtl/>
          <w:lang w:bidi="ar-DZ"/>
        </w:rPr>
        <w:t xml:space="preserve"> و إن كانت مقررة بمقتضى قانون القضاء العسكري المعدل و المتمم بموجب القانون </w:t>
      </w:r>
      <w:proofErr w:type="spellStart"/>
      <w:r>
        <w:rPr>
          <w:rFonts w:ascii="Traditional Arabic" w:hAnsi="Traditional Arabic" w:cs="Traditional Arabic" w:hint="cs"/>
          <w:sz w:val="32"/>
          <w:szCs w:val="32"/>
          <w:rtl/>
          <w:lang w:bidi="ar-DZ"/>
        </w:rPr>
        <w:t>18-14،</w:t>
      </w:r>
      <w:proofErr w:type="spellEnd"/>
      <w:r>
        <w:rPr>
          <w:rFonts w:ascii="Traditional Arabic" w:hAnsi="Traditional Arabic" w:cs="Traditional Arabic" w:hint="cs"/>
          <w:sz w:val="32"/>
          <w:szCs w:val="32"/>
          <w:rtl/>
          <w:lang w:bidi="ar-DZ"/>
        </w:rPr>
        <w:t xml:space="preserve"> إلا أنها تبقى غير كافية لتحقيق المحاكمة </w:t>
      </w:r>
      <w:proofErr w:type="spellStart"/>
      <w:r>
        <w:rPr>
          <w:rFonts w:ascii="Traditional Arabic" w:hAnsi="Traditional Arabic" w:cs="Traditional Arabic" w:hint="cs"/>
          <w:sz w:val="32"/>
          <w:szCs w:val="32"/>
          <w:rtl/>
          <w:lang w:bidi="ar-DZ"/>
        </w:rPr>
        <w:t>العادلة،</w:t>
      </w:r>
      <w:proofErr w:type="spellEnd"/>
      <w:r>
        <w:rPr>
          <w:rFonts w:ascii="Traditional Arabic" w:hAnsi="Traditional Arabic" w:cs="Traditional Arabic" w:hint="cs"/>
          <w:sz w:val="32"/>
          <w:szCs w:val="32"/>
          <w:rtl/>
          <w:lang w:bidi="ar-DZ"/>
        </w:rPr>
        <w:t xml:space="preserve"> على الأقل مقارنة بتلك المقررة بموجب قانون الإجراءات </w:t>
      </w:r>
      <w:proofErr w:type="spellStart"/>
      <w:r>
        <w:rPr>
          <w:rFonts w:ascii="Traditional Arabic" w:hAnsi="Traditional Arabic" w:cs="Traditional Arabic" w:hint="cs"/>
          <w:sz w:val="32"/>
          <w:szCs w:val="32"/>
          <w:rtl/>
          <w:lang w:bidi="ar-DZ"/>
        </w:rPr>
        <w:t>الجزائية،</w:t>
      </w:r>
      <w:proofErr w:type="spellEnd"/>
      <w:r>
        <w:rPr>
          <w:rFonts w:ascii="Traditional Arabic" w:hAnsi="Traditional Arabic" w:cs="Traditional Arabic" w:hint="cs"/>
          <w:sz w:val="32"/>
          <w:szCs w:val="32"/>
          <w:rtl/>
          <w:lang w:bidi="ar-DZ"/>
        </w:rPr>
        <w:t xml:space="preserve"> ناهيك عن الأخطاء القضائية المرتكبة أثناء ممارسة إجراءات الدعوى العمومية من لدن مختلف الهيئات القضائية المنوط </w:t>
      </w:r>
      <w:proofErr w:type="spellStart"/>
      <w:r>
        <w:rPr>
          <w:rFonts w:ascii="Traditional Arabic" w:hAnsi="Traditional Arabic" w:cs="Traditional Arabic" w:hint="cs"/>
          <w:sz w:val="32"/>
          <w:szCs w:val="32"/>
          <w:rtl/>
          <w:lang w:bidi="ar-DZ"/>
        </w:rPr>
        <w:t>بها</w:t>
      </w:r>
      <w:proofErr w:type="spellEnd"/>
      <w:r>
        <w:rPr>
          <w:rFonts w:ascii="Traditional Arabic" w:hAnsi="Traditional Arabic" w:cs="Traditional Arabic" w:hint="cs"/>
          <w:sz w:val="32"/>
          <w:szCs w:val="32"/>
          <w:rtl/>
          <w:lang w:bidi="ar-DZ"/>
        </w:rPr>
        <w:t xml:space="preserve"> تلك الإجراءات كالضبطية القضائية </w:t>
      </w:r>
      <w:proofErr w:type="spellStart"/>
      <w:r>
        <w:rPr>
          <w:rFonts w:ascii="Traditional Arabic" w:hAnsi="Traditional Arabic" w:cs="Traditional Arabic" w:hint="cs"/>
          <w:sz w:val="32"/>
          <w:szCs w:val="32"/>
          <w:rtl/>
          <w:lang w:bidi="ar-DZ"/>
        </w:rPr>
        <w:t>العسكرية،</w:t>
      </w:r>
      <w:proofErr w:type="spellEnd"/>
      <w:r>
        <w:rPr>
          <w:rFonts w:ascii="Traditional Arabic" w:hAnsi="Traditional Arabic" w:cs="Traditional Arabic" w:hint="cs"/>
          <w:sz w:val="32"/>
          <w:szCs w:val="32"/>
          <w:rtl/>
          <w:lang w:bidi="ar-DZ"/>
        </w:rPr>
        <w:t xml:space="preserve"> وكيل الجمهورية </w:t>
      </w:r>
      <w:proofErr w:type="spellStart"/>
      <w:r>
        <w:rPr>
          <w:rFonts w:ascii="Traditional Arabic" w:hAnsi="Traditional Arabic" w:cs="Traditional Arabic" w:hint="cs"/>
          <w:sz w:val="32"/>
          <w:szCs w:val="32"/>
          <w:rtl/>
          <w:lang w:bidi="ar-DZ"/>
        </w:rPr>
        <w:t>العسكري،</w:t>
      </w:r>
      <w:proofErr w:type="spellEnd"/>
      <w:r>
        <w:rPr>
          <w:rFonts w:ascii="Traditional Arabic" w:hAnsi="Traditional Arabic" w:cs="Traditional Arabic" w:hint="cs"/>
          <w:sz w:val="32"/>
          <w:szCs w:val="32"/>
          <w:rtl/>
          <w:lang w:bidi="ar-DZ"/>
        </w:rPr>
        <w:t xml:space="preserve"> قاضي التحقيق </w:t>
      </w:r>
      <w:proofErr w:type="spellStart"/>
      <w:r>
        <w:rPr>
          <w:rFonts w:ascii="Traditional Arabic" w:hAnsi="Traditional Arabic" w:cs="Traditional Arabic" w:hint="cs"/>
          <w:sz w:val="32"/>
          <w:szCs w:val="32"/>
          <w:rtl/>
          <w:lang w:bidi="ar-DZ"/>
        </w:rPr>
        <w:t>العسكري،</w:t>
      </w:r>
      <w:proofErr w:type="spellEnd"/>
      <w:r>
        <w:rPr>
          <w:rFonts w:ascii="Traditional Arabic" w:hAnsi="Traditional Arabic" w:cs="Traditional Arabic" w:hint="cs"/>
          <w:sz w:val="32"/>
          <w:szCs w:val="32"/>
          <w:rtl/>
          <w:lang w:bidi="ar-DZ"/>
        </w:rPr>
        <w:t xml:space="preserve"> غرفة </w:t>
      </w:r>
      <w:proofErr w:type="spellStart"/>
      <w:r>
        <w:rPr>
          <w:rFonts w:ascii="Traditional Arabic" w:hAnsi="Traditional Arabic" w:cs="Traditional Arabic" w:hint="cs"/>
          <w:sz w:val="32"/>
          <w:szCs w:val="32"/>
          <w:rtl/>
          <w:lang w:bidi="ar-DZ"/>
        </w:rPr>
        <w:t>الاتهام،</w:t>
      </w:r>
      <w:proofErr w:type="spellEnd"/>
      <w:r>
        <w:rPr>
          <w:rFonts w:ascii="Traditional Arabic" w:hAnsi="Traditional Arabic" w:cs="Traditional Arabic" w:hint="cs"/>
          <w:sz w:val="32"/>
          <w:szCs w:val="32"/>
          <w:rtl/>
          <w:lang w:bidi="ar-DZ"/>
        </w:rPr>
        <w:t xml:space="preserve"> و قضاة المحكمة </w:t>
      </w:r>
      <w:proofErr w:type="spellStart"/>
      <w:r>
        <w:rPr>
          <w:rFonts w:ascii="Traditional Arabic" w:hAnsi="Traditional Arabic" w:cs="Traditional Arabic" w:hint="cs"/>
          <w:sz w:val="32"/>
          <w:szCs w:val="32"/>
          <w:rtl/>
          <w:lang w:bidi="ar-DZ"/>
        </w:rPr>
        <w:t>العسكرية؛</w:t>
      </w:r>
      <w:proofErr w:type="spellEnd"/>
      <w:r>
        <w:rPr>
          <w:rFonts w:ascii="Traditional Arabic" w:hAnsi="Traditional Arabic" w:cs="Traditional Arabic" w:hint="cs"/>
          <w:sz w:val="32"/>
          <w:szCs w:val="32"/>
          <w:rtl/>
          <w:lang w:bidi="ar-DZ"/>
        </w:rPr>
        <w:t xml:space="preserve"> سواء تعلق الأمر بالمحكمة العسكرية أو </w:t>
      </w:r>
      <w:proofErr w:type="gramStart"/>
      <w:r>
        <w:rPr>
          <w:rFonts w:ascii="Traditional Arabic" w:hAnsi="Traditional Arabic" w:cs="Traditional Arabic" w:hint="cs"/>
          <w:sz w:val="32"/>
          <w:szCs w:val="32"/>
          <w:rtl/>
          <w:lang w:bidi="ar-DZ"/>
        </w:rPr>
        <w:t>بمجلس</w:t>
      </w:r>
      <w:proofErr w:type="gramEnd"/>
      <w:r>
        <w:rPr>
          <w:rFonts w:ascii="Traditional Arabic" w:hAnsi="Traditional Arabic" w:cs="Traditional Arabic" w:hint="cs"/>
          <w:sz w:val="32"/>
          <w:szCs w:val="32"/>
          <w:rtl/>
          <w:lang w:bidi="ar-DZ"/>
        </w:rPr>
        <w:t xml:space="preserve"> الاستئناف العسكري.</w:t>
      </w:r>
      <w:r w:rsidR="00FF63BC">
        <w:rPr>
          <w:rFonts w:ascii="Traditional Arabic" w:hAnsi="Traditional Arabic" w:cs="Traditional Arabic" w:hint="cs"/>
          <w:sz w:val="32"/>
          <w:szCs w:val="32"/>
          <w:rtl/>
          <w:lang w:bidi="ar-DZ"/>
        </w:rPr>
        <w:t xml:space="preserve">  </w:t>
      </w:r>
    </w:p>
    <w:p w:rsidR="008B1EF9" w:rsidRDefault="008B1EF9" w:rsidP="008B1E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highKashida"/>
        <w:rPr>
          <w:rFonts w:ascii="Courier New" w:eastAsia="Times New Roman" w:hAnsi="Courier New" w:cs="Courier New"/>
          <w:b/>
          <w:bCs/>
          <w:sz w:val="24"/>
          <w:szCs w:val="24"/>
          <w:rtl/>
          <w:lang w:eastAsia="fr-FR"/>
        </w:rPr>
      </w:pPr>
      <w:r w:rsidRPr="008B1EF9">
        <w:rPr>
          <w:rFonts w:ascii="Courier New" w:eastAsia="Times New Roman" w:hAnsi="Courier New" w:cs="Courier New"/>
          <w:b/>
          <w:bCs/>
          <w:sz w:val="24"/>
          <w:szCs w:val="24"/>
          <w:lang w:eastAsia="fr-FR"/>
        </w:rPr>
        <w:t>Résumé:</w:t>
      </w:r>
    </w:p>
    <w:p w:rsidR="00E46B1C" w:rsidRPr="008B1EF9" w:rsidRDefault="00E46B1C" w:rsidP="008B1E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highKashida"/>
        <w:rPr>
          <w:rFonts w:ascii="Courier New" w:eastAsia="Times New Roman" w:hAnsi="Courier New" w:cs="Courier New"/>
          <w:b/>
          <w:bCs/>
          <w:sz w:val="24"/>
          <w:szCs w:val="24"/>
          <w:lang w:eastAsia="fr-FR"/>
        </w:rPr>
      </w:pPr>
    </w:p>
    <w:p w:rsidR="008B1EF9" w:rsidRPr="008B1EF9" w:rsidRDefault="008B1EF9" w:rsidP="008954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Courier New" w:eastAsia="Times New Roman" w:hAnsi="Courier New" w:cs="Courier New"/>
          <w:sz w:val="24"/>
          <w:szCs w:val="24"/>
          <w:lang w:eastAsia="fr-FR"/>
        </w:rPr>
      </w:pPr>
      <w:r w:rsidRPr="008B1EF9">
        <w:rPr>
          <w:rFonts w:ascii="Courier New" w:eastAsia="Times New Roman" w:hAnsi="Courier New" w:cs="Courier New"/>
          <w:sz w:val="24"/>
          <w:szCs w:val="24"/>
          <w:lang w:eastAsia="fr-FR"/>
        </w:rPr>
        <w:t xml:space="preserve">Le procès devant le pouvoir judiciaire militaire est l'un des procès pénaux les plus dangereux contre les accusés, en raison de cette nature exceptionnelle et spéciale de ce pouvoir judiciaire, cette vie privée comprend ses dispositions et règles, sa loi et son pouvoir judiciaire indépendant des règles de </w:t>
      </w:r>
      <w:proofErr w:type="spellStart"/>
      <w:r w:rsidRPr="008B1EF9">
        <w:rPr>
          <w:rFonts w:ascii="Courier New" w:eastAsia="Times New Roman" w:hAnsi="Courier New" w:cs="Courier New"/>
          <w:sz w:val="24"/>
          <w:szCs w:val="24"/>
          <w:lang w:eastAsia="fr-FR"/>
        </w:rPr>
        <w:t>common</w:t>
      </w:r>
      <w:proofErr w:type="spellEnd"/>
      <w:r w:rsidRPr="008B1EF9">
        <w:rPr>
          <w:rFonts w:ascii="Courier New" w:eastAsia="Times New Roman" w:hAnsi="Courier New" w:cs="Courier New"/>
          <w:sz w:val="24"/>
          <w:szCs w:val="24"/>
          <w:lang w:eastAsia="fr-FR"/>
        </w:rPr>
        <w:t xml:space="preserve"> </w:t>
      </w:r>
      <w:proofErr w:type="spellStart"/>
      <w:r w:rsidRPr="008B1EF9">
        <w:rPr>
          <w:rFonts w:ascii="Courier New" w:eastAsia="Times New Roman" w:hAnsi="Courier New" w:cs="Courier New"/>
          <w:sz w:val="24"/>
          <w:szCs w:val="24"/>
          <w:lang w:eastAsia="fr-FR"/>
        </w:rPr>
        <w:t>law</w:t>
      </w:r>
      <w:proofErr w:type="spellEnd"/>
      <w:r w:rsidRPr="008B1EF9">
        <w:rPr>
          <w:rFonts w:ascii="Courier New" w:eastAsia="Times New Roman" w:hAnsi="Courier New" w:cs="Courier New"/>
          <w:sz w:val="24"/>
          <w:szCs w:val="24"/>
          <w:lang w:eastAsia="fr-FR"/>
        </w:rPr>
        <w:t>.</w:t>
      </w:r>
    </w:p>
    <w:p w:rsidR="008B1EF9" w:rsidRPr="008B1EF9" w:rsidRDefault="008B1EF9" w:rsidP="008954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Courier New" w:eastAsia="Times New Roman" w:hAnsi="Courier New" w:cs="Courier New"/>
          <w:sz w:val="24"/>
          <w:szCs w:val="24"/>
          <w:lang w:eastAsia="fr-FR"/>
        </w:rPr>
      </w:pPr>
      <w:r w:rsidRPr="008B1EF9">
        <w:rPr>
          <w:rFonts w:ascii="Courier New" w:eastAsia="Times New Roman" w:hAnsi="Courier New" w:cs="Courier New"/>
          <w:sz w:val="24"/>
          <w:szCs w:val="24"/>
          <w:lang w:eastAsia="fr-FR"/>
        </w:rPr>
        <w:t>Comme cela a été le cas, il est devenu impératif que l'accusé accusé devant le pouvoir judiciaire militaire jouisse de tous les droits et garanties lui garantissant un procès juste et équitable, à toutes les étapes dont il est entouré par la protection juridique nécessaire pour renforcer en lui la présomption d'innocence.</w:t>
      </w:r>
    </w:p>
    <w:p w:rsidR="008B1EF9" w:rsidRPr="008B1EF9" w:rsidRDefault="008B1EF9" w:rsidP="008954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Courier New" w:eastAsia="Times New Roman" w:hAnsi="Courier New" w:cs="Courier New"/>
          <w:sz w:val="24"/>
          <w:szCs w:val="24"/>
          <w:lang w:eastAsia="fr-FR"/>
        </w:rPr>
      </w:pPr>
      <w:r w:rsidRPr="008B1EF9">
        <w:rPr>
          <w:rFonts w:ascii="Courier New" w:eastAsia="Times New Roman" w:hAnsi="Courier New" w:cs="Courier New"/>
          <w:sz w:val="24"/>
          <w:szCs w:val="24"/>
          <w:lang w:eastAsia="fr-FR"/>
        </w:rPr>
        <w:t>Ces garanties, si elles sont prescrites par la loi sur la justice militaire modifiée et complétée conformément à la loi 18-14.</w:t>
      </w:r>
    </w:p>
    <w:p w:rsidR="008B1EF9" w:rsidRPr="008B1EF9" w:rsidRDefault="008B1EF9" w:rsidP="00895478">
      <w:pPr>
        <w:pStyle w:val="PrformatHTML"/>
        <w:spacing w:line="276" w:lineRule="auto"/>
        <w:jc w:val="both"/>
        <w:rPr>
          <w:sz w:val="24"/>
          <w:szCs w:val="24"/>
        </w:rPr>
      </w:pPr>
      <w:r w:rsidRPr="008B1EF9">
        <w:rPr>
          <w:sz w:val="24"/>
          <w:szCs w:val="24"/>
        </w:rPr>
        <w:lastRenderedPageBreak/>
        <w:t>Cependant, il reste insuffisant pour parvenir à un procès équitable, du moins par rapport à ceux établis par le Code de procédure pénale, sans parler des erreurs judiciaires commises lors de l'exercice des procédures de contentieux public par divers organes judiciaires chargés de</w:t>
      </w:r>
      <w:r w:rsidR="00895478">
        <w:rPr>
          <w:sz w:val="24"/>
          <w:szCs w:val="24"/>
        </w:rPr>
        <w:t xml:space="preserve"> </w:t>
      </w:r>
      <w:r w:rsidRPr="008B1EF9">
        <w:rPr>
          <w:sz w:val="24"/>
          <w:szCs w:val="24"/>
        </w:rPr>
        <w:t>procédures telles que la saisie judiciaire militaire, le procureur militaire, le juge d'instruction militaire. , La chambre d'accusation et les juges des tribunaux militaires, qu'il s'agisse du tribunal militaire ou de la commission d'appel militaire.</w:t>
      </w:r>
    </w:p>
    <w:p w:rsidR="00895478" w:rsidRDefault="00895478" w:rsidP="00630A56">
      <w:pPr>
        <w:jc w:val="mediumKashida"/>
        <w:rPr>
          <w:rStyle w:val="tlid-translation"/>
          <w:b/>
          <w:bCs/>
          <w:sz w:val="24"/>
          <w:szCs w:val="24"/>
        </w:rPr>
      </w:pPr>
    </w:p>
    <w:p w:rsidR="00164B3B" w:rsidRPr="00895478" w:rsidRDefault="00164B3B" w:rsidP="00630A56">
      <w:pPr>
        <w:jc w:val="mediumKashida"/>
        <w:rPr>
          <w:rFonts w:ascii="Traditional Arabic" w:hAnsi="Traditional Arabic" w:cs="Traditional Arabic"/>
          <w:sz w:val="24"/>
          <w:szCs w:val="24"/>
          <w:lang w:val="en-US" w:bidi="ar-DZ"/>
        </w:rPr>
      </w:pPr>
      <w:r w:rsidRPr="00895478">
        <w:rPr>
          <w:rStyle w:val="tlid-translation"/>
          <w:b/>
          <w:bCs/>
          <w:sz w:val="24"/>
          <w:szCs w:val="24"/>
          <w:lang w:val="en-US"/>
        </w:rPr>
        <w:t>Summary</w:t>
      </w:r>
      <w:proofErr w:type="gramStart"/>
      <w:r w:rsidRPr="00895478">
        <w:rPr>
          <w:rStyle w:val="tlid-translation"/>
          <w:b/>
          <w:bCs/>
          <w:sz w:val="24"/>
          <w:szCs w:val="24"/>
          <w:lang w:val="en-US"/>
        </w:rPr>
        <w:t>:</w:t>
      </w:r>
      <w:proofErr w:type="gramEnd"/>
      <w:r w:rsidRPr="00895478">
        <w:rPr>
          <w:sz w:val="24"/>
          <w:szCs w:val="24"/>
          <w:lang w:val="en-US"/>
        </w:rPr>
        <w:br/>
      </w:r>
      <w:r w:rsidRPr="00895478">
        <w:rPr>
          <w:rStyle w:val="tlid-translation"/>
          <w:sz w:val="24"/>
          <w:szCs w:val="24"/>
          <w:lang w:val="en-US"/>
        </w:rPr>
        <w:t>The trial before the military judiciary is one of the most dangerous criminal trials against the accused, because of this exceptional and special nature of this judiciary, this privacy includes its provisions and rules, its law and its judiciary independent from the rules of common law.</w:t>
      </w:r>
      <w:r w:rsidR="00630A56" w:rsidRPr="00895478">
        <w:rPr>
          <w:rStyle w:val="tlid-translation"/>
          <w:sz w:val="24"/>
          <w:szCs w:val="24"/>
          <w:lang w:val="en-US"/>
        </w:rPr>
        <w:t xml:space="preserve"> </w:t>
      </w:r>
      <w:r w:rsidRPr="00895478">
        <w:rPr>
          <w:rStyle w:val="tlid-translation"/>
          <w:sz w:val="24"/>
          <w:szCs w:val="24"/>
          <w:lang w:val="en-US"/>
        </w:rPr>
        <w:t xml:space="preserve">As this was the case, it became imperative that the accused </w:t>
      </w:r>
      <w:proofErr w:type="spellStart"/>
      <w:r w:rsidRPr="00895478">
        <w:rPr>
          <w:rStyle w:val="tlid-translation"/>
          <w:sz w:val="24"/>
          <w:szCs w:val="24"/>
          <w:lang w:val="en-US"/>
        </w:rPr>
        <w:t>accused</w:t>
      </w:r>
      <w:proofErr w:type="spellEnd"/>
      <w:r w:rsidRPr="00895478">
        <w:rPr>
          <w:rStyle w:val="tlid-translation"/>
          <w:sz w:val="24"/>
          <w:szCs w:val="24"/>
          <w:lang w:val="en-US"/>
        </w:rPr>
        <w:t xml:space="preserve"> before the military judiciary enjoy all the rights and guarantees guaranteeing him a fair and fair trial, in all stages of which he is surrounded by the legal protection necessary to reinforce the presumption</w:t>
      </w:r>
      <w:r w:rsidR="00ED35A0" w:rsidRPr="00895478">
        <w:rPr>
          <w:rStyle w:val="tlid-translation"/>
          <w:sz w:val="24"/>
          <w:szCs w:val="24"/>
          <w:lang w:val="en-US"/>
        </w:rPr>
        <w:t xml:space="preserve"> </w:t>
      </w:r>
      <w:r w:rsidRPr="00895478">
        <w:rPr>
          <w:rStyle w:val="tlid-translation"/>
          <w:sz w:val="24"/>
          <w:szCs w:val="24"/>
          <w:lang w:val="en-US"/>
        </w:rPr>
        <w:t>of innocence in him.</w:t>
      </w:r>
      <w:r w:rsidR="00630A56" w:rsidRPr="00895478">
        <w:rPr>
          <w:rStyle w:val="tlid-translation"/>
          <w:sz w:val="24"/>
          <w:szCs w:val="24"/>
          <w:lang w:val="en-US"/>
        </w:rPr>
        <w:t xml:space="preserve"> </w:t>
      </w:r>
      <w:r w:rsidRPr="00895478">
        <w:rPr>
          <w:rStyle w:val="tlid-translation"/>
          <w:sz w:val="24"/>
          <w:szCs w:val="24"/>
          <w:lang w:val="en-US"/>
        </w:rPr>
        <w:t>These guarantees, even if they are prescribed under the amended and completed Military Judicial Law pursuant to Law 18-14, but they remain insufficient to achieve a fair trial, at least as compared to those established under the Criminal Procedure Law, not to mention the judicial errors committed during the exercise of public litigation procedures from The various judicial bodies entrusted with these procedures are: the military judicial seizure, the military prosecutor, the military investigative judge, the indictment room, and the military court judges, whether it comes to the military court or the military appeals council.</w:t>
      </w:r>
    </w:p>
    <w:sectPr w:rsidR="00164B3B" w:rsidRPr="00895478" w:rsidSect="00895478">
      <w:headerReference w:type="default" r:id="rId6"/>
      <w:footerReference w:type="default" r:id="rId7"/>
      <w:pgSz w:w="11906" w:h="16838"/>
      <w:pgMar w:top="1418" w:right="1701" w:bottom="1418" w:left="1418" w:header="709" w:footer="709" w:gutter="0"/>
      <w:pgNumType w:start="19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29C3" w:rsidRDefault="00C829C3" w:rsidP="00C81E91">
      <w:pPr>
        <w:spacing w:after="0" w:line="240" w:lineRule="auto"/>
      </w:pPr>
      <w:r>
        <w:separator/>
      </w:r>
    </w:p>
  </w:endnote>
  <w:endnote w:type="continuationSeparator" w:id="0">
    <w:p w:rsidR="00C829C3" w:rsidRDefault="00C829C3" w:rsidP="00C81E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536A" w:rsidRDefault="009A536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29C3" w:rsidRDefault="00C829C3" w:rsidP="00C81E91">
      <w:pPr>
        <w:spacing w:after="0" w:line="240" w:lineRule="auto"/>
      </w:pPr>
      <w:r>
        <w:separator/>
      </w:r>
    </w:p>
  </w:footnote>
  <w:footnote w:type="continuationSeparator" w:id="0">
    <w:p w:rsidR="00C829C3" w:rsidRDefault="00C829C3" w:rsidP="00C81E9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E91" w:rsidRDefault="00C81E9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471BF6"/>
    <w:rsid w:val="00021AA9"/>
    <w:rsid w:val="0004169F"/>
    <w:rsid w:val="000F164C"/>
    <w:rsid w:val="00117E8F"/>
    <w:rsid w:val="00164B3B"/>
    <w:rsid w:val="00171F11"/>
    <w:rsid w:val="001D5398"/>
    <w:rsid w:val="001D66CA"/>
    <w:rsid w:val="001E3E38"/>
    <w:rsid w:val="002158BA"/>
    <w:rsid w:val="002807E2"/>
    <w:rsid w:val="0029164A"/>
    <w:rsid w:val="002B46F1"/>
    <w:rsid w:val="002F7171"/>
    <w:rsid w:val="00337BE0"/>
    <w:rsid w:val="003463F6"/>
    <w:rsid w:val="003517A6"/>
    <w:rsid w:val="003F6019"/>
    <w:rsid w:val="003F60BB"/>
    <w:rsid w:val="0041244A"/>
    <w:rsid w:val="0042740D"/>
    <w:rsid w:val="00471BF6"/>
    <w:rsid w:val="004A2201"/>
    <w:rsid w:val="006049C0"/>
    <w:rsid w:val="00630A56"/>
    <w:rsid w:val="006B2905"/>
    <w:rsid w:val="006D5C87"/>
    <w:rsid w:val="006F19C4"/>
    <w:rsid w:val="006F3C35"/>
    <w:rsid w:val="00700FCB"/>
    <w:rsid w:val="0072094C"/>
    <w:rsid w:val="00751C27"/>
    <w:rsid w:val="00752B75"/>
    <w:rsid w:val="007F2BF4"/>
    <w:rsid w:val="00895478"/>
    <w:rsid w:val="008B1EF9"/>
    <w:rsid w:val="0090623A"/>
    <w:rsid w:val="00913511"/>
    <w:rsid w:val="00990C0C"/>
    <w:rsid w:val="009A536A"/>
    <w:rsid w:val="009E16AD"/>
    <w:rsid w:val="00A029AA"/>
    <w:rsid w:val="00A21EE4"/>
    <w:rsid w:val="00B520D7"/>
    <w:rsid w:val="00BA20C6"/>
    <w:rsid w:val="00C02129"/>
    <w:rsid w:val="00C30FB2"/>
    <w:rsid w:val="00C81E91"/>
    <w:rsid w:val="00C829C3"/>
    <w:rsid w:val="00CC07E9"/>
    <w:rsid w:val="00CC7594"/>
    <w:rsid w:val="00D10D21"/>
    <w:rsid w:val="00DE188D"/>
    <w:rsid w:val="00E00C7A"/>
    <w:rsid w:val="00E46B1C"/>
    <w:rsid w:val="00E52659"/>
    <w:rsid w:val="00E82B11"/>
    <w:rsid w:val="00EA1AAB"/>
    <w:rsid w:val="00ED35A0"/>
    <w:rsid w:val="00ED6E1E"/>
    <w:rsid w:val="00F052A5"/>
    <w:rsid w:val="00F64E58"/>
    <w:rsid w:val="00FF63B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9C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81E91"/>
    <w:pPr>
      <w:tabs>
        <w:tab w:val="center" w:pos="4536"/>
        <w:tab w:val="right" w:pos="9072"/>
      </w:tabs>
      <w:spacing w:after="0" w:line="240" w:lineRule="auto"/>
    </w:pPr>
  </w:style>
  <w:style w:type="character" w:customStyle="1" w:styleId="En-tteCar">
    <w:name w:val="En-tête Car"/>
    <w:basedOn w:val="Policepardfaut"/>
    <w:link w:val="En-tte"/>
    <w:uiPriority w:val="99"/>
    <w:rsid w:val="00C81E91"/>
  </w:style>
  <w:style w:type="paragraph" w:styleId="Pieddepage">
    <w:name w:val="footer"/>
    <w:basedOn w:val="Normal"/>
    <w:link w:val="PieddepageCar"/>
    <w:uiPriority w:val="99"/>
    <w:unhideWhenUsed/>
    <w:rsid w:val="00C81E9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81E91"/>
  </w:style>
  <w:style w:type="paragraph" w:styleId="Textedebulles">
    <w:name w:val="Balloon Text"/>
    <w:basedOn w:val="Normal"/>
    <w:link w:val="TextedebullesCar"/>
    <w:uiPriority w:val="99"/>
    <w:semiHidden/>
    <w:unhideWhenUsed/>
    <w:rsid w:val="00C81E9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81E91"/>
    <w:rPr>
      <w:rFonts w:ascii="Tahoma" w:hAnsi="Tahoma" w:cs="Tahoma"/>
      <w:sz w:val="16"/>
      <w:szCs w:val="16"/>
    </w:rPr>
  </w:style>
  <w:style w:type="character" w:customStyle="1" w:styleId="tlid-translation">
    <w:name w:val="tlid-translation"/>
    <w:basedOn w:val="Policepardfaut"/>
    <w:rsid w:val="00164B3B"/>
  </w:style>
  <w:style w:type="paragraph" w:styleId="PrformatHTML">
    <w:name w:val="HTML Preformatted"/>
    <w:basedOn w:val="Normal"/>
    <w:link w:val="PrformatHTMLCar"/>
    <w:uiPriority w:val="99"/>
    <w:semiHidden/>
    <w:unhideWhenUsed/>
    <w:rsid w:val="008B1E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8B1EF9"/>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433087763">
      <w:bodyDiv w:val="1"/>
      <w:marLeft w:val="0"/>
      <w:marRight w:val="0"/>
      <w:marTop w:val="0"/>
      <w:marBottom w:val="0"/>
      <w:divBdr>
        <w:top w:val="none" w:sz="0" w:space="0" w:color="auto"/>
        <w:left w:val="none" w:sz="0" w:space="0" w:color="auto"/>
        <w:bottom w:val="none" w:sz="0" w:space="0" w:color="auto"/>
        <w:right w:val="none" w:sz="0" w:space="0" w:color="auto"/>
      </w:divBdr>
    </w:div>
    <w:div w:id="1349865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534</Words>
  <Characters>2943</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الخاتمة</vt:lpstr>
    </vt:vector>
  </TitlesOfParts>
  <Company/>
  <LinksUpToDate>false</LinksUpToDate>
  <CharactersWithSpaces>3471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الخاتمة</dc:title>
  <dc:creator>vaio</dc:creator>
  <cp:lastModifiedBy>Abdellah</cp:lastModifiedBy>
  <cp:revision>5</cp:revision>
  <cp:lastPrinted>2020-02-27T10:04:00Z</cp:lastPrinted>
  <dcterms:created xsi:type="dcterms:W3CDTF">2020-02-20T14:09:00Z</dcterms:created>
  <dcterms:modified xsi:type="dcterms:W3CDTF">2020-02-27T10:18:00Z</dcterms:modified>
</cp:coreProperties>
</file>