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5DE0" w:rsidRDefault="000E5DE0" w:rsidP="000E5DE0">
      <w:pPr>
        <w:bidi/>
        <w:spacing w:line="360" w:lineRule="auto"/>
        <w:jc w:val="center"/>
        <w:rPr>
          <w:rFonts w:asciiTheme="majorBidi" w:hAnsiTheme="majorBidi" w:cs="Simplified Arabic"/>
          <w:b/>
          <w:bCs/>
          <w:sz w:val="30"/>
          <w:szCs w:val="30"/>
          <w:u w:val="single"/>
          <w:lang w:bidi="ar-DZ"/>
        </w:rPr>
      </w:pPr>
      <w:r>
        <w:rPr>
          <w:rFonts w:asciiTheme="majorBidi" w:hAnsiTheme="majorBidi" w:cs="Simplified Arabic"/>
          <w:b/>
          <w:bCs/>
          <w:sz w:val="30"/>
          <w:szCs w:val="30"/>
          <w:u w:val="single"/>
          <w:rtl/>
          <w:lang w:bidi="ar-DZ"/>
        </w:rPr>
        <w:t>ملخص الدراسة</w:t>
      </w:r>
    </w:p>
    <w:p w:rsidR="000E5DE0" w:rsidRDefault="000E5DE0" w:rsidP="000E5DE0">
      <w:pPr>
        <w:bidi/>
        <w:spacing w:line="360" w:lineRule="auto"/>
        <w:jc w:val="both"/>
        <w:rPr>
          <w:rFonts w:asciiTheme="majorBidi" w:hAnsiTheme="majorBidi" w:cs="Simplified Arabic"/>
          <w:sz w:val="30"/>
          <w:szCs w:val="30"/>
          <w:lang w:bidi="ar-DZ"/>
        </w:rPr>
      </w:pPr>
      <w:r>
        <w:rPr>
          <w:rFonts w:asciiTheme="majorBidi" w:hAnsiTheme="majorBidi" w:cs="Simplified Arabic"/>
          <w:sz w:val="30"/>
          <w:szCs w:val="30"/>
          <w:rtl/>
          <w:lang w:bidi="ar-DZ"/>
        </w:rPr>
        <w:t xml:space="preserve">     في ظل اقتصاد المعرفة الذي</w:t>
      </w:r>
      <w:r>
        <w:rPr>
          <w:rFonts w:asciiTheme="majorBidi" w:hAnsiTheme="majorBidi" w:cs="Simplified Arabic"/>
          <w:sz w:val="30"/>
          <w:szCs w:val="30"/>
          <w:lang w:bidi="ar-DZ"/>
        </w:rPr>
        <w:t xml:space="preserve"> </w:t>
      </w:r>
      <w:r>
        <w:rPr>
          <w:rFonts w:asciiTheme="majorBidi" w:hAnsiTheme="majorBidi" w:cs="Simplified Arabic"/>
          <w:sz w:val="30"/>
          <w:szCs w:val="30"/>
          <w:rtl/>
          <w:lang w:bidi="ar-DZ"/>
        </w:rPr>
        <w:t>أصبح فيه أداء المؤسسات يضبط بعوامل غير مادية ومعقدة بدل عوامل مادية، مع حالة عدم التأكد الاقتصادي والمنافسة العالمية، إذ أصبحت تنافسية المؤسسات تعتمد على عوامل متعلقة بقدرتها الداخلية على الإبداع وتجنيد مواردها، وبالخصوص ذلك الشق من الموارد المتعلق بالمورد البشري وما يمتلكه من كفاءات ومدارك وخبرات.</w:t>
      </w:r>
    </w:p>
    <w:p w:rsidR="000E5DE0" w:rsidRDefault="000E5DE0" w:rsidP="000E5DE0">
      <w:pPr>
        <w:bidi/>
        <w:spacing w:line="360" w:lineRule="auto"/>
        <w:jc w:val="both"/>
        <w:rPr>
          <w:rFonts w:asciiTheme="majorBidi" w:hAnsiTheme="majorBidi" w:cs="Simplified Arabic"/>
          <w:sz w:val="30"/>
          <w:szCs w:val="30"/>
          <w:rtl/>
          <w:lang w:bidi="ar-DZ"/>
        </w:rPr>
      </w:pPr>
      <w:r>
        <w:rPr>
          <w:rFonts w:asciiTheme="majorBidi" w:hAnsiTheme="majorBidi" w:cs="Simplified Arabic"/>
          <w:sz w:val="30"/>
          <w:szCs w:val="30"/>
          <w:rtl/>
          <w:lang w:bidi="ar-DZ"/>
        </w:rPr>
        <w:tab/>
        <w:t xml:space="preserve">لذلك أصبح لزاما على المؤسسة </w:t>
      </w:r>
      <w:proofErr w:type="spellStart"/>
      <w:r>
        <w:rPr>
          <w:rFonts w:asciiTheme="majorBidi" w:hAnsiTheme="majorBidi" w:cs="Simplified Arabic"/>
          <w:sz w:val="30"/>
          <w:szCs w:val="30"/>
          <w:rtl/>
          <w:lang w:bidi="ar-DZ"/>
        </w:rPr>
        <w:t>إيلاء</w:t>
      </w:r>
      <w:proofErr w:type="spellEnd"/>
      <w:r>
        <w:rPr>
          <w:rFonts w:asciiTheme="majorBidi" w:hAnsiTheme="majorBidi" w:cs="Simplified Arabic"/>
          <w:sz w:val="30"/>
          <w:szCs w:val="30"/>
          <w:rtl/>
          <w:lang w:bidi="ar-DZ"/>
        </w:rPr>
        <w:t xml:space="preserve"> أهمية بالغة لتحسين كفاءة موردها البشري باعتباره أساس كل تغيير ووسيلته، والتركيز على إيجاد شكل التنظيم المناسب لتسهيل تقاسم المعرفة والتعلم الجماعي وتشجيع التغيير، لهذا باتت إدارة المعرفة من أنسب المداخل التي فرضت نفسها مؤخرا لتحقيق هذا الهدف، باعتماد تشارك المعرفة وحسن تطبيقها للرفع من أدائهم الوظيفي وتحسين تعلمهم، لتحويلها إلى قيمة تعزز مكانة المؤسسة من جهة، وتسهر على كفاءة المورد البشري من جهة أخرى.</w:t>
      </w:r>
    </w:p>
    <w:p w:rsidR="000E5DE0" w:rsidRDefault="000E5DE0" w:rsidP="000E5DE0">
      <w:pPr>
        <w:bidi/>
        <w:spacing w:line="360" w:lineRule="auto"/>
        <w:jc w:val="both"/>
        <w:rPr>
          <w:rFonts w:asciiTheme="majorBidi" w:hAnsiTheme="majorBidi" w:cs="Simplified Arabic"/>
          <w:sz w:val="30"/>
          <w:szCs w:val="30"/>
          <w:rtl/>
          <w:lang w:bidi="ar-DZ"/>
        </w:rPr>
      </w:pPr>
      <w:r>
        <w:rPr>
          <w:rFonts w:asciiTheme="majorBidi" w:hAnsiTheme="majorBidi" w:cs="Simplified Arabic"/>
          <w:sz w:val="30"/>
          <w:szCs w:val="30"/>
          <w:rtl/>
          <w:lang w:bidi="ar-DZ"/>
        </w:rPr>
        <w:t xml:space="preserve">       تهدف هذه الدراسة للتعرف على دور إدارة المعرفة في تحسين كفاءة المورد البشري بمؤسسة اسمنت </w:t>
      </w:r>
      <w:proofErr w:type="spellStart"/>
      <w:r>
        <w:rPr>
          <w:rFonts w:asciiTheme="majorBidi" w:hAnsiTheme="majorBidi" w:cs="Simplified Arabic"/>
          <w:sz w:val="30"/>
          <w:szCs w:val="30"/>
          <w:rtl/>
          <w:lang w:bidi="ar-DZ"/>
        </w:rPr>
        <w:t>تبسة</w:t>
      </w:r>
      <w:proofErr w:type="spellEnd"/>
      <w:r>
        <w:rPr>
          <w:rFonts w:asciiTheme="majorBidi" w:hAnsiTheme="majorBidi" w:cs="Simplified Arabic"/>
          <w:sz w:val="30"/>
          <w:szCs w:val="30"/>
          <w:rtl/>
          <w:lang w:bidi="ar-DZ"/>
        </w:rPr>
        <w:t xml:space="preserve">، من خلال الاعتماد على المنهج الوصفي التحليلي لمتن الدراسة، والتنقيب على إحداثياتها من خلال التحليل الإحصائي لبيانات عينة الدراسة، وقد وقفنا على إثبات وجود دور ايجابي ومعنوي لإدارة المعرفة في تحسين كفاءة المورد البشري بمؤسسة اسمنت </w:t>
      </w:r>
      <w:proofErr w:type="spellStart"/>
      <w:r>
        <w:rPr>
          <w:rFonts w:asciiTheme="majorBidi" w:hAnsiTheme="majorBidi" w:cs="Simplified Arabic"/>
          <w:sz w:val="30"/>
          <w:szCs w:val="30"/>
          <w:rtl/>
          <w:lang w:bidi="ar-DZ"/>
        </w:rPr>
        <w:t>تبسة</w:t>
      </w:r>
      <w:proofErr w:type="spellEnd"/>
      <w:r>
        <w:rPr>
          <w:rFonts w:asciiTheme="majorBidi" w:hAnsiTheme="majorBidi" w:cs="Simplified Arabic"/>
          <w:sz w:val="30"/>
          <w:szCs w:val="30"/>
          <w:rtl/>
          <w:lang w:bidi="ar-DZ"/>
        </w:rPr>
        <w:t>.</w:t>
      </w:r>
    </w:p>
    <w:p w:rsidR="000E5DE0" w:rsidRDefault="000E5DE0" w:rsidP="000E5DE0">
      <w:pPr>
        <w:bidi/>
        <w:spacing w:line="360" w:lineRule="auto"/>
        <w:jc w:val="both"/>
        <w:rPr>
          <w:rFonts w:ascii="Times New Roman" w:hAnsi="Times New Roman" w:cs="Times New Roman"/>
          <w:sz w:val="30"/>
          <w:szCs w:val="30"/>
          <w:rtl/>
        </w:rPr>
      </w:pPr>
      <w:r>
        <w:rPr>
          <w:rFonts w:asciiTheme="majorBidi" w:hAnsiTheme="majorBidi" w:cs="Simplified Arabic"/>
          <w:sz w:val="30"/>
          <w:szCs w:val="30"/>
          <w:rtl/>
          <w:lang w:bidi="ar-DZ"/>
        </w:rPr>
        <w:t xml:space="preserve">الكلمات </w:t>
      </w:r>
      <w:proofErr w:type="spellStart"/>
      <w:r>
        <w:rPr>
          <w:rFonts w:asciiTheme="majorBidi" w:hAnsiTheme="majorBidi" w:cs="Simplified Arabic"/>
          <w:sz w:val="30"/>
          <w:szCs w:val="30"/>
          <w:rtl/>
          <w:lang w:bidi="ar-DZ"/>
        </w:rPr>
        <w:t>المفتاحية</w:t>
      </w:r>
      <w:proofErr w:type="spellEnd"/>
      <w:r>
        <w:rPr>
          <w:rFonts w:asciiTheme="majorBidi" w:hAnsiTheme="majorBidi" w:cs="Simplified Arabic"/>
          <w:sz w:val="30"/>
          <w:szCs w:val="30"/>
          <w:rtl/>
          <w:lang w:bidi="ar-DZ"/>
        </w:rPr>
        <w:t xml:space="preserve">: إدارة المعرفة– كفاءة المورد البشري- تمكين المورد البشري - التحفيز- الإبداع – المؤسسة المتعلمة. </w:t>
      </w:r>
    </w:p>
    <w:p w:rsidR="000E5DE0" w:rsidRDefault="000E5DE0" w:rsidP="000E5DE0">
      <w:pPr>
        <w:rPr>
          <w:rFonts w:ascii="Simplified Arabic" w:hAnsi="Simplified Arabic" w:cs="Simplified Arabic"/>
          <w:sz w:val="32"/>
          <w:szCs w:val="32"/>
          <w:rtl/>
          <w:lang w:bidi="ar-DZ"/>
        </w:rPr>
        <w:sectPr w:rsidR="000E5DE0">
          <w:pgSz w:w="11906" w:h="16838"/>
          <w:pgMar w:top="1418" w:right="1701" w:bottom="1418" w:left="1134" w:header="567" w:footer="709" w:gutter="0"/>
          <w:cols w:space="720"/>
          <w:bidi/>
          <w:rtlGutter/>
        </w:sectPr>
      </w:pPr>
    </w:p>
    <w:p w:rsidR="000E5DE0" w:rsidRDefault="000E5DE0" w:rsidP="000E5DE0">
      <w:pPr>
        <w:bidi/>
        <w:spacing w:line="324" w:lineRule="auto"/>
        <w:jc w:val="center"/>
        <w:rPr>
          <w:rFonts w:asciiTheme="majorBidi" w:hAnsiTheme="majorBidi" w:cstheme="majorBidi"/>
          <w:sz w:val="28"/>
          <w:szCs w:val="28"/>
        </w:rPr>
      </w:pPr>
      <w:r>
        <w:rPr>
          <w:rFonts w:asciiTheme="majorBidi" w:hAnsiTheme="majorBidi" w:cstheme="majorBidi"/>
          <w:b/>
          <w:sz w:val="28"/>
          <w:szCs w:val="28"/>
          <w:u w:val="single"/>
        </w:rPr>
        <w:lastRenderedPageBreak/>
        <w:t>Résumé de l’étude</w:t>
      </w:r>
      <w:r>
        <w:rPr>
          <w:rFonts w:asciiTheme="majorBidi" w:hAnsiTheme="majorBidi" w:cstheme="majorBidi"/>
          <w:sz w:val="28"/>
          <w:szCs w:val="28"/>
        </w:rPr>
        <w:t xml:space="preserve"> :</w:t>
      </w:r>
    </w:p>
    <w:p w:rsidR="000E5DE0" w:rsidRDefault="000E5DE0" w:rsidP="000E5DE0">
      <w:pPr>
        <w:spacing w:line="324" w:lineRule="auto"/>
        <w:jc w:val="both"/>
        <w:rPr>
          <w:rFonts w:asciiTheme="majorBidi" w:hAnsiTheme="majorBidi" w:cstheme="majorBidi"/>
          <w:sz w:val="28"/>
          <w:szCs w:val="28"/>
        </w:rPr>
      </w:pPr>
    </w:p>
    <w:p w:rsidR="000E5DE0" w:rsidRDefault="000E5DE0" w:rsidP="000E5DE0">
      <w:pPr>
        <w:spacing w:line="324" w:lineRule="auto"/>
        <w:ind w:firstLine="708"/>
        <w:jc w:val="both"/>
        <w:rPr>
          <w:rFonts w:asciiTheme="majorBidi" w:hAnsiTheme="majorBidi" w:cstheme="majorBidi"/>
          <w:sz w:val="28"/>
          <w:szCs w:val="28"/>
        </w:rPr>
      </w:pPr>
      <w:r>
        <w:rPr>
          <w:rFonts w:asciiTheme="majorBidi" w:hAnsiTheme="majorBidi" w:cstheme="majorBidi"/>
          <w:sz w:val="28"/>
          <w:szCs w:val="28"/>
        </w:rPr>
        <w:t xml:space="preserve">Dans une économie du savoir où la performance des entreprises est contrôlée par des facteurs non matériels et complexes plutôt que par des facteurs matériels, avec l'incertitude économique et la concurrence mondiale, la compétitivité des entreprises est devenue dépendante de facteurs liés à leur capacité interne d'innover et de recruter leurs ressources, en particulier le volet de ces moyens en rapport avec les ressources humaines et ses compétences, ses connaissances et son expertise. </w:t>
      </w:r>
    </w:p>
    <w:p w:rsidR="000E5DE0" w:rsidRDefault="000E5DE0" w:rsidP="000E5DE0">
      <w:pPr>
        <w:spacing w:line="324" w:lineRule="auto"/>
        <w:jc w:val="both"/>
        <w:rPr>
          <w:rFonts w:asciiTheme="majorBidi" w:hAnsiTheme="majorBidi" w:cstheme="majorBidi"/>
          <w:sz w:val="28"/>
          <w:szCs w:val="28"/>
        </w:rPr>
      </w:pPr>
      <w:r>
        <w:rPr>
          <w:rFonts w:asciiTheme="majorBidi" w:hAnsiTheme="majorBidi" w:cstheme="majorBidi"/>
          <w:sz w:val="28"/>
          <w:szCs w:val="28"/>
        </w:rPr>
        <w:tab/>
        <w:t>Par conséquent, il est impératif que  l’entreprise accorde une grande importance à l'amélioration de l'efficacité de ses ressources humaines en tant que base et moyen de chaque changement, et qu'elle se concentre sur la création de la forme appropriée d'organisation pour faciliter le partage des connaissances, l'apprentissage collectif et la promotion du changement, de sorte que la gestion des connaissances est devenue l'une des approches les plus appropriées récemment imposées pour atteindre cet objectif, en adoptant le partage des connaissances et sa bonne application pour augmenter leur rendement au travail et améliorer leur apprentissage, de le transformer en une valeur qui améliore la position de l'organisation d'une part et assure l'efficacité de la ressource humaine d'autre part.</w:t>
      </w:r>
    </w:p>
    <w:p w:rsidR="000E5DE0" w:rsidRDefault="000E5DE0" w:rsidP="000E5DE0">
      <w:pPr>
        <w:spacing w:line="324" w:lineRule="auto"/>
        <w:jc w:val="both"/>
        <w:rPr>
          <w:rFonts w:asciiTheme="majorBidi" w:hAnsiTheme="majorBidi" w:cstheme="majorBidi"/>
          <w:sz w:val="28"/>
          <w:szCs w:val="28"/>
        </w:rPr>
      </w:pPr>
      <w:r>
        <w:rPr>
          <w:rFonts w:asciiTheme="majorBidi" w:hAnsiTheme="majorBidi" w:cstheme="majorBidi"/>
          <w:sz w:val="28"/>
          <w:szCs w:val="28"/>
        </w:rPr>
        <w:t xml:space="preserve">       Cette étude vise à identifier le rôle de la gestion des connaissances dans l'amélioration de l'efficacité des ressources humaines dans la société du ciment, en s'appuyant sur l'approche analytique descriptive du comité d'étude, et en explorant ses coordonnées à travers l'analyse statistique des données de l'échantillon de l'étude, et nous avons pu prouver l'existence d'un rôle positif et moral pour le circuit des connaissances afin d’améliorer l'efficacité des ressources humaines dans la société des ciments de Tébessa .</w:t>
      </w:r>
    </w:p>
    <w:p w:rsidR="000E5DE0" w:rsidRDefault="000E5DE0" w:rsidP="000E5DE0">
      <w:pPr>
        <w:spacing w:line="324" w:lineRule="auto"/>
        <w:jc w:val="both"/>
        <w:rPr>
          <w:rFonts w:asciiTheme="majorBidi" w:hAnsiTheme="majorBidi" w:cstheme="majorBidi"/>
          <w:sz w:val="28"/>
          <w:szCs w:val="28"/>
        </w:rPr>
      </w:pPr>
      <w:r>
        <w:rPr>
          <w:rFonts w:asciiTheme="majorBidi" w:hAnsiTheme="majorBidi" w:cstheme="majorBidi"/>
          <w:b/>
          <w:sz w:val="28"/>
          <w:szCs w:val="28"/>
        </w:rPr>
        <w:t>Mots-clés:</w:t>
      </w:r>
      <w:r>
        <w:rPr>
          <w:rFonts w:asciiTheme="majorBidi" w:hAnsiTheme="majorBidi" w:cstheme="majorBidi"/>
          <w:sz w:val="28"/>
          <w:szCs w:val="28"/>
        </w:rPr>
        <w:t xml:space="preserve"> Gestion des connaissances, Efficacité des ressources humaines, Autonomisation des ressources humaines, Motivation, Créativité, Entreprise instruite.</w:t>
      </w:r>
    </w:p>
    <w:p w:rsidR="000E5DE0" w:rsidRDefault="000E5DE0" w:rsidP="000E5DE0">
      <w:pPr>
        <w:rPr>
          <w:rFonts w:asciiTheme="majorBidi" w:hAnsiTheme="majorBidi" w:cs="Simplified Arabic"/>
          <w:b/>
          <w:bCs/>
          <w:sz w:val="36"/>
          <w:szCs w:val="36"/>
          <w:rtl/>
          <w:lang w:bidi="ar-DZ"/>
        </w:rPr>
        <w:sectPr w:rsidR="000E5DE0">
          <w:footnotePr>
            <w:numRestart w:val="eachPage"/>
          </w:footnotePr>
          <w:pgSz w:w="11906" w:h="16838"/>
          <w:pgMar w:top="1418" w:right="1701" w:bottom="1418" w:left="1134" w:header="709" w:footer="709" w:gutter="0"/>
          <w:pgNumType w:start="1"/>
          <w:cols w:space="720"/>
        </w:sectPr>
      </w:pPr>
    </w:p>
    <w:p w:rsidR="000E5DE0" w:rsidRDefault="000E5DE0" w:rsidP="000E5DE0">
      <w:pPr>
        <w:spacing w:line="324" w:lineRule="auto"/>
        <w:jc w:val="center"/>
        <w:rPr>
          <w:rFonts w:asciiTheme="majorBidi" w:hAnsiTheme="majorBidi" w:cstheme="majorBidi"/>
          <w:b/>
          <w:color w:val="000000" w:themeColor="text1"/>
          <w:sz w:val="28"/>
          <w:szCs w:val="28"/>
          <w:rtl/>
          <w:lang w:val="en-CA"/>
        </w:rPr>
      </w:pPr>
      <w:r>
        <w:rPr>
          <w:rFonts w:asciiTheme="majorBidi" w:hAnsiTheme="majorBidi" w:cstheme="majorBidi"/>
          <w:b/>
          <w:color w:val="000000" w:themeColor="text1"/>
          <w:sz w:val="28"/>
          <w:szCs w:val="28"/>
          <w:u w:val="single"/>
          <w:lang w:val="en-CA"/>
        </w:rPr>
        <w:lastRenderedPageBreak/>
        <w:t>Abstract</w:t>
      </w:r>
    </w:p>
    <w:p w:rsidR="000E5DE0" w:rsidRDefault="000E5DE0" w:rsidP="000E5DE0">
      <w:pPr>
        <w:spacing w:line="324" w:lineRule="auto"/>
        <w:jc w:val="both"/>
        <w:rPr>
          <w:rFonts w:asciiTheme="majorBidi" w:hAnsiTheme="majorBidi" w:cstheme="majorBidi"/>
          <w:color w:val="000000" w:themeColor="text1"/>
          <w:sz w:val="28"/>
          <w:szCs w:val="28"/>
          <w:lang w:val="en-CA"/>
        </w:rPr>
      </w:pPr>
    </w:p>
    <w:p w:rsidR="000E5DE0" w:rsidRDefault="000E5DE0" w:rsidP="000E5DE0">
      <w:pPr>
        <w:spacing w:line="324" w:lineRule="auto"/>
        <w:ind w:firstLine="708"/>
        <w:jc w:val="both"/>
        <w:rPr>
          <w:rFonts w:asciiTheme="majorBidi" w:hAnsiTheme="majorBidi" w:cstheme="majorBidi"/>
          <w:color w:val="000000" w:themeColor="text1"/>
          <w:sz w:val="28"/>
          <w:szCs w:val="28"/>
          <w:lang w:val="en-CA"/>
        </w:rPr>
      </w:pPr>
      <w:r>
        <w:rPr>
          <w:rFonts w:asciiTheme="majorBidi" w:hAnsiTheme="majorBidi" w:cstheme="majorBidi"/>
          <w:color w:val="000000" w:themeColor="text1"/>
          <w:sz w:val="28"/>
          <w:szCs w:val="28"/>
          <w:lang w:val="en-CA"/>
        </w:rPr>
        <w:t xml:space="preserve">In a knowledge-aware economy where business performance is controlled by non-material and complex factors rather than material factors, with economic uncertainty and global competition, business competitiveness has become dependent on factors related to their internal ability to innovate and recruit resources, particularly the human resources component and its skills, knowledge and expertise. </w:t>
      </w:r>
    </w:p>
    <w:p w:rsidR="000E5DE0" w:rsidRDefault="000E5DE0" w:rsidP="000E5DE0">
      <w:pPr>
        <w:spacing w:line="324" w:lineRule="auto"/>
        <w:jc w:val="both"/>
        <w:rPr>
          <w:rFonts w:asciiTheme="majorBidi" w:hAnsiTheme="majorBidi" w:cstheme="majorBidi"/>
          <w:color w:val="000000" w:themeColor="text1"/>
          <w:sz w:val="28"/>
          <w:szCs w:val="28"/>
          <w:lang w:val="en-CA"/>
        </w:rPr>
      </w:pPr>
      <w:r>
        <w:rPr>
          <w:rFonts w:asciiTheme="majorBidi" w:hAnsiTheme="majorBidi" w:cstheme="majorBidi"/>
          <w:color w:val="000000" w:themeColor="text1"/>
          <w:sz w:val="28"/>
          <w:szCs w:val="28"/>
          <w:lang w:val="en-CA"/>
        </w:rPr>
        <w:tab/>
        <w:t>Therefore, it is imperative that the company place great importance on improving the efficiency of its human resources as the basis and medium of each change, and that it focus on creating the right form to facilitate knowledge sharing, collective learning and the promotion of change, so that knowledge management has become one of the most appropriate approaches recently imposed to achieve this goal, by embracing knowledge sharing and its proper application to increase their work performance and improve their learning, transform it into a value that improves the position of the organization on the one hand and ensures the effectiveness of the human resource  on the other hand.</w:t>
      </w:r>
    </w:p>
    <w:p w:rsidR="000E5DE0" w:rsidRDefault="000E5DE0" w:rsidP="000E5DE0">
      <w:pPr>
        <w:spacing w:line="324" w:lineRule="auto"/>
        <w:jc w:val="both"/>
        <w:rPr>
          <w:rFonts w:asciiTheme="majorBidi" w:hAnsiTheme="majorBidi" w:cstheme="majorBidi"/>
          <w:color w:val="000000" w:themeColor="text1"/>
          <w:sz w:val="28"/>
          <w:szCs w:val="28"/>
          <w:lang w:val="en-CA"/>
        </w:rPr>
      </w:pPr>
      <w:r>
        <w:rPr>
          <w:rFonts w:asciiTheme="majorBidi" w:hAnsiTheme="majorBidi" w:cstheme="majorBidi"/>
          <w:color w:val="000000" w:themeColor="text1"/>
          <w:sz w:val="28"/>
          <w:szCs w:val="28"/>
          <w:lang w:val="en-CA"/>
        </w:rPr>
        <w:t xml:space="preserve">This study aims to identify the role of knowledge management in improving the efficiency of human resources in the cement society, drawing on the study committee's descriptive analytical approach, and exploring its coordinates statistical analysis of the data from the sample of the study, and we were able to prove the existence of a positive and moral role for the knowledge circuit in order to improve the efficiency of human resources </w:t>
      </w:r>
      <w:proofErr w:type="gramStart"/>
      <w:r>
        <w:rPr>
          <w:rFonts w:asciiTheme="majorBidi" w:hAnsiTheme="majorBidi" w:cstheme="majorBidi"/>
          <w:color w:val="000000" w:themeColor="text1"/>
          <w:sz w:val="28"/>
          <w:szCs w:val="28"/>
          <w:lang w:val="en-CA"/>
        </w:rPr>
        <w:t>in :</w:t>
      </w:r>
      <w:proofErr w:type="gramEnd"/>
      <w:r>
        <w:rPr>
          <w:rFonts w:asciiTheme="majorBidi" w:hAnsiTheme="majorBidi" w:cstheme="majorBidi"/>
          <w:color w:val="000000" w:themeColor="text1"/>
          <w:sz w:val="28"/>
          <w:szCs w:val="28"/>
          <w:lang w:val="en-CA"/>
        </w:rPr>
        <w:t xml:space="preserve">La </w:t>
      </w:r>
      <w:proofErr w:type="spellStart"/>
      <w:r>
        <w:rPr>
          <w:rFonts w:asciiTheme="majorBidi" w:hAnsiTheme="majorBidi" w:cstheme="majorBidi"/>
          <w:color w:val="000000" w:themeColor="text1"/>
          <w:sz w:val="28"/>
          <w:szCs w:val="28"/>
          <w:lang w:val="en-CA"/>
        </w:rPr>
        <w:t>Société</w:t>
      </w:r>
      <w:proofErr w:type="spellEnd"/>
      <w:r>
        <w:rPr>
          <w:rFonts w:asciiTheme="majorBidi" w:hAnsiTheme="majorBidi" w:cstheme="majorBidi"/>
          <w:color w:val="000000" w:themeColor="text1"/>
          <w:sz w:val="28"/>
          <w:szCs w:val="28"/>
          <w:lang w:val="en-CA"/>
        </w:rPr>
        <w:t xml:space="preserve"> des </w:t>
      </w:r>
      <w:proofErr w:type="spellStart"/>
      <w:r>
        <w:rPr>
          <w:rFonts w:asciiTheme="majorBidi" w:hAnsiTheme="majorBidi" w:cstheme="majorBidi"/>
          <w:color w:val="000000" w:themeColor="text1"/>
          <w:sz w:val="28"/>
          <w:szCs w:val="28"/>
          <w:lang w:val="en-CA"/>
        </w:rPr>
        <w:t>ciments</w:t>
      </w:r>
      <w:proofErr w:type="spellEnd"/>
      <w:r>
        <w:rPr>
          <w:rFonts w:asciiTheme="majorBidi" w:hAnsiTheme="majorBidi" w:cstheme="majorBidi"/>
          <w:color w:val="000000" w:themeColor="text1"/>
          <w:sz w:val="28"/>
          <w:szCs w:val="28"/>
          <w:lang w:val="en-CA"/>
        </w:rPr>
        <w:t xml:space="preserve">  de </w:t>
      </w:r>
      <w:proofErr w:type="spellStart"/>
      <w:r>
        <w:rPr>
          <w:rFonts w:asciiTheme="majorBidi" w:hAnsiTheme="majorBidi" w:cstheme="majorBidi"/>
          <w:color w:val="000000" w:themeColor="text1"/>
          <w:sz w:val="28"/>
          <w:szCs w:val="28"/>
          <w:lang w:val="en-CA"/>
        </w:rPr>
        <w:t>Tébessa</w:t>
      </w:r>
      <w:proofErr w:type="spellEnd"/>
      <w:r>
        <w:rPr>
          <w:rFonts w:asciiTheme="majorBidi" w:hAnsiTheme="majorBidi" w:cstheme="majorBidi"/>
          <w:color w:val="000000" w:themeColor="text1"/>
          <w:sz w:val="28"/>
          <w:szCs w:val="28"/>
          <w:lang w:val="en-CA"/>
        </w:rPr>
        <w:t xml:space="preserve"> .</w:t>
      </w:r>
    </w:p>
    <w:p w:rsidR="000E5DE0" w:rsidRDefault="000E5DE0" w:rsidP="000E5DE0">
      <w:pPr>
        <w:spacing w:line="324" w:lineRule="auto"/>
        <w:jc w:val="both"/>
        <w:rPr>
          <w:rFonts w:asciiTheme="majorBidi" w:hAnsiTheme="majorBidi" w:cstheme="majorBidi"/>
          <w:color w:val="000000" w:themeColor="text1"/>
          <w:sz w:val="28"/>
          <w:szCs w:val="28"/>
          <w:lang w:val="en-CA"/>
        </w:rPr>
      </w:pPr>
      <w:r>
        <w:rPr>
          <w:rFonts w:asciiTheme="majorBidi" w:hAnsiTheme="majorBidi" w:cstheme="majorBidi"/>
          <w:b/>
          <w:color w:val="000000" w:themeColor="text1"/>
          <w:sz w:val="28"/>
          <w:szCs w:val="28"/>
          <w:lang w:val="en-CA"/>
        </w:rPr>
        <w:t>Keywords:</w:t>
      </w:r>
      <w:r>
        <w:rPr>
          <w:rFonts w:asciiTheme="majorBidi" w:hAnsiTheme="majorBidi" w:cstheme="majorBidi"/>
          <w:color w:val="000000" w:themeColor="text1"/>
          <w:sz w:val="28"/>
          <w:szCs w:val="28"/>
          <w:lang w:val="en-CA"/>
        </w:rPr>
        <w:t xml:space="preserve"> Knowledge Management, Human Resource Efficiency, Human Resource Empowerment, Motivation, Creativity, Educated Enterprise. </w:t>
      </w:r>
    </w:p>
    <w:p w:rsidR="000E5DE0" w:rsidRDefault="000E5DE0" w:rsidP="000E5DE0">
      <w:pPr>
        <w:spacing w:line="324" w:lineRule="auto"/>
        <w:jc w:val="both"/>
        <w:rPr>
          <w:rFonts w:asciiTheme="majorBidi" w:hAnsiTheme="majorBidi" w:cstheme="majorBidi"/>
          <w:color w:val="000000" w:themeColor="text1"/>
          <w:sz w:val="28"/>
          <w:szCs w:val="28"/>
          <w:lang w:val="en-CA"/>
        </w:rPr>
      </w:pPr>
    </w:p>
    <w:p w:rsidR="00000000" w:rsidRPr="000E5DE0" w:rsidRDefault="000E5DE0" w:rsidP="000E5DE0">
      <w:pPr>
        <w:bidi/>
        <w:rPr>
          <w:rFonts w:ascii="Simplified Arabic" w:hAnsi="Simplified Arabic" w:cs="Simplified Arabic"/>
          <w:lang w:val="en-CA"/>
        </w:rPr>
      </w:pPr>
    </w:p>
    <w:sectPr w:rsidR="00000000" w:rsidRPr="000E5DE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characterSpacingControl w:val="doNotCompress"/>
  <w:compat>
    <w:useFELayout/>
  </w:compat>
  <w:rsids>
    <w:rsidRoot w:val="000E5DE0"/>
    <w:rsid w:val="000E5D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89811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761</Words>
  <Characters>4190</Characters>
  <Application>Microsoft Office Word</Application>
  <DocSecurity>0</DocSecurity>
  <Lines>34</Lines>
  <Paragraphs>9</Paragraphs>
  <ScaleCrop>false</ScaleCrop>
  <Company/>
  <LinksUpToDate>false</LinksUpToDate>
  <CharactersWithSpaces>4942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NADHIR</dc:creator>
  <cp:keywords/>
  <dc:description/>
  <cp:lastModifiedBy>NADHIR</cp:lastModifiedBy>
  <cp:revision>2</cp:revision>
  <dcterms:created xsi:type="dcterms:W3CDTF">2020-10-10T19:31:00Z</dcterms:created>
  <dcterms:modified xsi:type="dcterms:W3CDTF">2020-10-10T19:32:00Z</dcterms:modified>
</cp:coreProperties>
</file>