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pPr w:leftFromText="141" w:rightFromText="141" w:vertAnchor="text" w:horzAnchor="margin" w:tblpY="113"/>
        <w:tblW w:w="0" w:type="auto"/>
        <w:tblLook w:val="04A0"/>
      </w:tblPr>
      <w:tblGrid>
        <w:gridCol w:w="9161"/>
      </w:tblGrid>
      <w:tr w:rsidR="00507288" w:rsidRPr="00B85BC2" w:rsidTr="00B478E0">
        <w:tc>
          <w:tcPr>
            <w:tcW w:w="9161" w:type="dxa"/>
            <w:tcBorders>
              <w:left w:val="nil"/>
              <w:right w:val="nil"/>
            </w:tcBorders>
          </w:tcPr>
          <w:p w:rsidR="00507288" w:rsidRPr="00B85BC2" w:rsidRDefault="00507288" w:rsidP="00DA7B8E">
            <w:pPr>
              <w:jc w:val="center"/>
              <w:rPr>
                <w:b/>
                <w:bCs/>
                <w:sz w:val="24"/>
                <w:szCs w:val="24"/>
              </w:rPr>
            </w:pPr>
            <w:r w:rsidRPr="00B85BC2">
              <w:rPr>
                <w:b/>
                <w:bCs/>
                <w:sz w:val="24"/>
                <w:szCs w:val="24"/>
              </w:rPr>
              <w:t>RESUME</w:t>
            </w:r>
          </w:p>
        </w:tc>
      </w:tr>
    </w:tbl>
    <w:p w:rsidR="00507288" w:rsidRPr="00B85BC2" w:rsidRDefault="00507288" w:rsidP="00507288">
      <w:pPr>
        <w:spacing w:before="0"/>
      </w:pPr>
    </w:p>
    <w:p w:rsidR="00507288" w:rsidRPr="00B85BC2" w:rsidRDefault="00507288" w:rsidP="002B606D">
      <w:pPr>
        <w:spacing w:before="0"/>
        <w:rPr>
          <w:rFonts w:eastAsia="Calibri"/>
          <w:bCs/>
          <w:iCs/>
          <w:spacing w:val="-2"/>
        </w:rPr>
      </w:pPr>
      <w:r w:rsidRPr="00B85BC2">
        <w:t xml:space="preserve">L’objectif de ce présent travail consiste à réaliser une étude détaillée sur la performance d’une marne </w:t>
      </w:r>
      <w:r w:rsidR="0040356E" w:rsidRPr="00B85BC2">
        <w:t xml:space="preserve">locale </w:t>
      </w:r>
      <w:r w:rsidR="00AD0AF7" w:rsidRPr="00B85BC2">
        <w:t xml:space="preserve">échantillonné </w:t>
      </w:r>
      <w:r w:rsidR="004E5595">
        <w:t>dans la région d’Oum El Bouaghi</w:t>
      </w:r>
      <w:r w:rsidR="00AD0AF7" w:rsidRPr="00B85BC2">
        <w:t xml:space="preserve"> </w:t>
      </w:r>
      <w:r w:rsidRPr="00B85BC2">
        <w:t xml:space="preserve">pour l’élimination de cuivre(II), </w:t>
      </w:r>
      <w:r w:rsidR="002E534C" w:rsidRPr="00B85BC2">
        <w:t xml:space="preserve">de </w:t>
      </w:r>
      <w:r w:rsidRPr="00B85BC2">
        <w:t xml:space="preserve">chrome(VI) et </w:t>
      </w:r>
      <w:r w:rsidR="002E534C" w:rsidRPr="00B85BC2">
        <w:t xml:space="preserve">de </w:t>
      </w:r>
      <w:r w:rsidRPr="00B85BC2">
        <w:t>manganèse</w:t>
      </w:r>
      <w:r w:rsidR="00DC2DD6" w:rsidRPr="00B85BC2">
        <w:t xml:space="preserve"> </w:t>
      </w:r>
      <w:r w:rsidRPr="00B85BC2">
        <w:t>(II</w:t>
      </w:r>
      <w:r w:rsidR="00BD68D3" w:rsidRPr="00B85BC2">
        <w:t>/VII</w:t>
      </w:r>
      <w:r w:rsidRPr="00B85BC2">
        <w:t>) en solution aqueu</w:t>
      </w:r>
      <w:r w:rsidR="00BD68D3" w:rsidRPr="00B85BC2">
        <w:t>se. La caractérisation physico-</w:t>
      </w:r>
      <w:r w:rsidRPr="00B85BC2">
        <w:t>chimique de ce nouveau matériau a été effectuée par </w:t>
      </w:r>
      <w:r w:rsidR="0074409A" w:rsidRPr="00B85BC2">
        <w:t xml:space="preserve">différentes techniques </w:t>
      </w:r>
      <w:r w:rsidRPr="00B85BC2">
        <w:t>: la spectroscopie infrarouge à transformée de Fourier (FTIR), la spectrométrie de fluorescence X (</w:t>
      </w:r>
      <w:r w:rsidR="00BD68D3" w:rsidRPr="00B85BC2">
        <w:t xml:space="preserve">FRX), la diffraction des rayons </w:t>
      </w:r>
      <w:r w:rsidRPr="00B85BC2">
        <w:t xml:space="preserve">X (DRX) et </w:t>
      </w:r>
      <w:r w:rsidR="00B62746" w:rsidRPr="00B85BC2">
        <w:t>le</w:t>
      </w:r>
      <w:r w:rsidRPr="00B85BC2">
        <w:t xml:space="preserve"> microscope électronique à balayage (MEB), </w:t>
      </w:r>
      <w:r w:rsidR="00006C17" w:rsidRPr="00B85BC2">
        <w:t xml:space="preserve">outre </w:t>
      </w:r>
      <w:r w:rsidRPr="00B85BC2">
        <w:t>la détermination de quelques propriétés physico-chimiques comme la surface spécifique (Méthode BET), la capac</w:t>
      </w:r>
      <w:r w:rsidR="004F0560" w:rsidRPr="00B85BC2">
        <w:t xml:space="preserve">ité d’échange </w:t>
      </w:r>
      <w:r w:rsidR="004E5595">
        <w:t>cationique (CEC), le pH</w:t>
      </w:r>
      <w:r w:rsidR="00BD68D3" w:rsidRPr="00B85BC2">
        <w:t xml:space="preserve"> naturel</w:t>
      </w:r>
      <w:r w:rsidR="004F0560" w:rsidRPr="00B85BC2">
        <w:t xml:space="preserve"> </w:t>
      </w:r>
      <w:r w:rsidRPr="00B85BC2">
        <w:t>et</w:t>
      </w:r>
      <w:r w:rsidR="00396E0A" w:rsidRPr="00B85BC2">
        <w:t xml:space="preserve"> le potentiel zêta</w:t>
      </w:r>
      <w:r w:rsidRPr="00B85BC2">
        <w:rPr>
          <w:rFonts w:eastAsia="Calibri"/>
          <w:bCs/>
          <w:iCs/>
        </w:rPr>
        <w:t>.</w:t>
      </w:r>
      <w:r w:rsidR="00CE6AA8" w:rsidRPr="00B85BC2">
        <w:rPr>
          <w:rFonts w:eastAsia="Calibri"/>
          <w:bCs/>
          <w:iCs/>
        </w:rPr>
        <w:t xml:space="preserve"> </w:t>
      </w:r>
      <w:r w:rsidR="0059527D" w:rsidRPr="00B85BC2">
        <w:t xml:space="preserve">Ceci nous a permis d’établir une série de données avec les différentes propriétés de ce matériau. </w:t>
      </w:r>
      <w:r w:rsidR="006E2762" w:rsidRPr="00B85BC2">
        <w:rPr>
          <w:rFonts w:eastAsia="Calibri"/>
          <w:bCs/>
          <w:iCs/>
          <w:spacing w:val="-2"/>
        </w:rPr>
        <w:t xml:space="preserve"> </w:t>
      </w:r>
      <w:r w:rsidR="00AD0AF7" w:rsidRPr="00B85BC2">
        <w:rPr>
          <w:rFonts w:ascii="Times New Roman" w:hAnsi="Times New Roman" w:cs="Times New Roman"/>
        </w:rPr>
        <w:t>Les différents paramètres tels que</w:t>
      </w:r>
      <w:r w:rsidR="00AD0AF7" w:rsidRPr="00B85BC2">
        <w:t xml:space="preserve"> </w:t>
      </w:r>
      <w:r w:rsidR="00922AD8" w:rsidRPr="00B85BC2">
        <w:t>tel</w:t>
      </w:r>
      <w:r w:rsidRPr="00B85BC2">
        <w:t>s que : la masse</w:t>
      </w:r>
      <w:r w:rsidR="004F0560" w:rsidRPr="00B85BC2">
        <w:t>, le pH</w:t>
      </w:r>
      <w:r w:rsidRPr="00B85BC2">
        <w:t>, la vitesse d’agitation, la concentration initiale</w:t>
      </w:r>
      <w:r w:rsidR="004F0560" w:rsidRPr="00B85BC2">
        <w:t xml:space="preserve"> et</w:t>
      </w:r>
      <w:r w:rsidRPr="00B85BC2">
        <w:t xml:space="preserve"> la température </w:t>
      </w:r>
      <w:r w:rsidR="00AD0AF7" w:rsidRPr="00B85BC2">
        <w:t xml:space="preserve">ont été étudiés. </w:t>
      </w:r>
      <w:r w:rsidRPr="00B85BC2">
        <w:t xml:space="preserve">La modélisation des résultats expérimentaux par l’utilisation de la méthode de régression non linéaire montre que la rétention de </w:t>
      </w:r>
      <w:r w:rsidR="00922AD8" w:rsidRPr="00B85BC2">
        <w:t>c</w:t>
      </w:r>
      <w:r w:rsidRPr="00B85BC2">
        <w:t>u</w:t>
      </w:r>
      <w:r w:rsidR="00922AD8" w:rsidRPr="00B85BC2">
        <w:t>ivre</w:t>
      </w:r>
      <w:r w:rsidRPr="00B85BC2">
        <w:t xml:space="preserve"> (II) et de </w:t>
      </w:r>
      <w:r w:rsidR="00922AD8" w:rsidRPr="00B85BC2">
        <w:t xml:space="preserve">manganèse </w:t>
      </w:r>
      <w:r w:rsidR="004F0560" w:rsidRPr="00B85BC2">
        <w:t>(II</w:t>
      </w:r>
      <w:r w:rsidR="00922AD8" w:rsidRPr="00B85BC2">
        <w:t>/VII</w:t>
      </w:r>
      <w:r w:rsidR="004F0560" w:rsidRPr="00B85BC2">
        <w:t>)</w:t>
      </w:r>
      <w:r w:rsidRPr="00B85BC2">
        <w:t xml:space="preserve"> </w:t>
      </w:r>
      <w:r w:rsidR="00922AD8" w:rsidRPr="00B85BC2">
        <w:t>obéissent au modèle de Langmuir tandis que</w:t>
      </w:r>
      <w:r w:rsidRPr="00B85BC2">
        <w:t xml:space="preserve"> le </w:t>
      </w:r>
      <w:r w:rsidR="00922AD8" w:rsidRPr="00B85BC2">
        <w:t>chrome</w:t>
      </w:r>
      <w:r w:rsidRPr="00B85BC2">
        <w:t>(</w:t>
      </w:r>
      <w:r w:rsidR="004F0560" w:rsidRPr="00B85BC2">
        <w:t>V</w:t>
      </w:r>
      <w:r w:rsidRPr="00B85BC2">
        <w:t>I) suit le mo</w:t>
      </w:r>
      <w:r w:rsidR="007F0956" w:rsidRPr="00B85BC2">
        <w:t>dèle de Freundlich. L</w:t>
      </w:r>
      <w:r w:rsidR="00A545A5" w:rsidRPr="00B85BC2">
        <w:rPr>
          <w:rFonts w:hint="cs"/>
          <w:rtl/>
        </w:rPr>
        <w:t>'</w:t>
      </w:r>
      <w:r w:rsidR="00A545A5" w:rsidRPr="00B85BC2">
        <w:t>étude</w:t>
      </w:r>
      <w:r w:rsidR="007F0956" w:rsidRPr="00B85BC2">
        <w:t xml:space="preserve"> cinétique </w:t>
      </w:r>
      <w:r w:rsidR="00A545A5" w:rsidRPr="00B85BC2">
        <w:t>montre que</w:t>
      </w:r>
      <w:r w:rsidR="0040356E" w:rsidRPr="00B85BC2">
        <w:t xml:space="preserve"> </w:t>
      </w:r>
      <w:r w:rsidR="0040356E" w:rsidRPr="00B85BC2">
        <w:rPr>
          <w:shd w:val="clear" w:color="auto" w:fill="FFFFFF"/>
        </w:rPr>
        <w:t>le modèle</w:t>
      </w:r>
      <w:r w:rsidR="0040356E" w:rsidRPr="00B85BC2">
        <w:t xml:space="preserve"> pseudo-premier ordre</w:t>
      </w:r>
      <w:r w:rsidR="00A545A5" w:rsidRPr="00B85BC2">
        <w:t xml:space="preserve"> </w:t>
      </w:r>
      <w:r w:rsidR="0040356E" w:rsidRPr="00B85BC2">
        <w:rPr>
          <w:shd w:val="clear" w:color="auto" w:fill="FFFFFF"/>
        </w:rPr>
        <w:t xml:space="preserve">décrit bien les résultats expérimentaux des </w:t>
      </w:r>
      <w:r w:rsidR="007F0956" w:rsidRPr="00B85BC2">
        <w:t>trois cations métalliques</w:t>
      </w:r>
      <w:r w:rsidR="0040356E" w:rsidRPr="00B85BC2">
        <w:t>.</w:t>
      </w:r>
      <w:r w:rsidR="00A545A5" w:rsidRPr="00B85BC2">
        <w:rPr>
          <w:shd w:val="clear" w:color="auto" w:fill="FFFFFF"/>
        </w:rPr>
        <w:t xml:space="preserve"> </w:t>
      </w:r>
      <w:r w:rsidR="007F0956" w:rsidRPr="00B85BC2">
        <w:t xml:space="preserve">Les paramètres thermodynamiques (ΔG°, ΔH°, et ΔS°) </w:t>
      </w:r>
      <w:r w:rsidR="007F0956" w:rsidRPr="00B85BC2">
        <w:rPr>
          <w:rFonts w:eastAsia="TimesNewRomanPSMT"/>
        </w:rPr>
        <w:t xml:space="preserve">indiquent que le processus d’adsorption </w:t>
      </w:r>
      <w:r w:rsidR="00545787" w:rsidRPr="00B85BC2">
        <w:t xml:space="preserve">de Cu(II) ou de Mn(II/VII) par la marne </w:t>
      </w:r>
      <w:r w:rsidR="00545787" w:rsidRPr="00B85BC2">
        <w:rPr>
          <w:rFonts w:eastAsia="TimesNewRomanPSMT"/>
        </w:rPr>
        <w:t xml:space="preserve">est </w:t>
      </w:r>
      <w:r w:rsidR="007A2A1A" w:rsidRPr="00B85BC2">
        <w:rPr>
          <w:rFonts w:eastAsia="TimesNewRomanPSMT"/>
        </w:rPr>
        <w:t xml:space="preserve">de type physique, </w:t>
      </w:r>
      <w:r w:rsidR="00545787" w:rsidRPr="00B85BC2">
        <w:rPr>
          <w:rFonts w:eastAsia="TimesNewRomanPSMT"/>
        </w:rPr>
        <w:t>endothermique,</w:t>
      </w:r>
      <w:r w:rsidR="00DC2DD6" w:rsidRPr="00B85BC2">
        <w:rPr>
          <w:rFonts w:eastAsia="TimesNewRomanPSMT"/>
        </w:rPr>
        <w:t xml:space="preserve"> et</w:t>
      </w:r>
      <w:r w:rsidR="00545787" w:rsidRPr="00B85BC2">
        <w:t xml:space="preserve"> spontané (ΔG°&lt;0)</w:t>
      </w:r>
      <w:r w:rsidR="007A2A1A" w:rsidRPr="00B85BC2">
        <w:t xml:space="preserve">. </w:t>
      </w:r>
      <w:r w:rsidR="007F0956" w:rsidRPr="00B85BC2">
        <w:t xml:space="preserve">Les valeurs positives de </w:t>
      </w:r>
      <w:r w:rsidR="007A2A1A" w:rsidRPr="00B85BC2">
        <w:t>ΔS°</w:t>
      </w:r>
      <w:r w:rsidR="007F0956" w:rsidRPr="00B85BC2">
        <w:t xml:space="preserve"> montrent une </w:t>
      </w:r>
      <w:r w:rsidR="007F0956" w:rsidRPr="00B85BC2">
        <w:rPr>
          <w:rFonts w:eastAsia="TimesNewRomanPSMT"/>
        </w:rPr>
        <w:t>augmentation du désordre au niveau de l’interface solide</w:t>
      </w:r>
      <w:r w:rsidR="007F0956" w:rsidRPr="00B85BC2">
        <w:t>-liquide</w:t>
      </w:r>
      <w:r w:rsidRPr="00B85BC2">
        <w:rPr>
          <w:rStyle w:val="Accentuation"/>
          <w:b/>
          <w:bCs/>
          <w:shd w:val="clear" w:color="auto" w:fill="FFFFFF"/>
        </w:rPr>
        <w:t>.</w:t>
      </w:r>
      <w:r w:rsidRPr="00B85BC2">
        <w:t xml:space="preserve"> L'étude de l'adsorption des cations métalliques par la marne a </w:t>
      </w:r>
      <w:r w:rsidR="002B606D" w:rsidRPr="00B85BC2">
        <w:t>révélé</w:t>
      </w:r>
      <w:r w:rsidRPr="00B85BC2">
        <w:t xml:space="preserve"> que le cuivre (II) et le chrome (VI) ont plus d'affinité que </w:t>
      </w:r>
      <w:r w:rsidR="004F0560" w:rsidRPr="00B85BC2">
        <w:t xml:space="preserve">le </w:t>
      </w:r>
      <w:r w:rsidRPr="00B85BC2">
        <w:t>manganèse (II</w:t>
      </w:r>
      <w:r w:rsidR="007A2A1A" w:rsidRPr="00B85BC2">
        <w:t>/VII</w:t>
      </w:r>
      <w:r w:rsidRPr="00B85BC2">
        <w:t>).</w:t>
      </w:r>
    </w:p>
    <w:p w:rsidR="00507288" w:rsidRPr="00B85BC2" w:rsidRDefault="00507288" w:rsidP="0014571C">
      <w:r w:rsidRPr="00B85BC2">
        <w:rPr>
          <w:b/>
          <w:bCs/>
        </w:rPr>
        <w:t>Mots clés</w:t>
      </w:r>
      <w:r w:rsidRPr="00B85BC2">
        <w:t>:</w:t>
      </w:r>
      <w:r w:rsidRPr="00B85BC2">
        <w:rPr>
          <w:rFonts w:eastAsia="Calibri"/>
          <w:spacing w:val="3"/>
        </w:rPr>
        <w:t xml:space="preserve"> adsorption</w:t>
      </w:r>
      <w:r w:rsidR="007A2A1A" w:rsidRPr="00B85BC2">
        <w:rPr>
          <w:rFonts w:eastAsia="Calibri"/>
          <w:spacing w:val="3"/>
        </w:rPr>
        <w:t> ;</w:t>
      </w:r>
      <w:r w:rsidRPr="00B85BC2">
        <w:t xml:space="preserve"> </w:t>
      </w:r>
      <w:r w:rsidR="0014571C" w:rsidRPr="00B85BC2">
        <w:t>propriétés physico-chimiques</w:t>
      </w:r>
      <w:r w:rsidR="007A2A1A" w:rsidRPr="00B85BC2">
        <w:t> ;</w:t>
      </w:r>
      <w:r w:rsidRPr="00B85BC2">
        <w:t xml:space="preserve"> environnement</w:t>
      </w:r>
      <w:r w:rsidR="007A2A1A" w:rsidRPr="00B85BC2">
        <w:t> ;</w:t>
      </w:r>
      <w:r w:rsidRPr="00B85BC2">
        <w:t xml:space="preserve"> pollution</w:t>
      </w:r>
      <w:r w:rsidR="007A2A1A" w:rsidRPr="00B85BC2">
        <w:t> ;</w:t>
      </w:r>
      <w:r w:rsidRPr="00B85BC2">
        <w:t xml:space="preserve"> cuivre(II)</w:t>
      </w:r>
      <w:r w:rsidR="007A2A1A" w:rsidRPr="00B85BC2">
        <w:t> ;</w:t>
      </w:r>
      <w:r w:rsidRPr="00B85BC2">
        <w:t xml:space="preserve"> chrome (VI)</w:t>
      </w:r>
      <w:r w:rsidR="000525F4" w:rsidRPr="00B85BC2">
        <w:t xml:space="preserve"> ; </w:t>
      </w:r>
      <w:r w:rsidRPr="00B85BC2">
        <w:t>manganèse</w:t>
      </w:r>
      <w:r w:rsidR="00DC2DD6" w:rsidRPr="00B85BC2">
        <w:t xml:space="preserve"> </w:t>
      </w:r>
      <w:r w:rsidRPr="00B85BC2">
        <w:t>(II</w:t>
      </w:r>
      <w:r w:rsidR="007A2A1A" w:rsidRPr="00B85BC2">
        <w:t>/VII</w:t>
      </w:r>
      <w:r w:rsidRPr="00B85BC2">
        <w:t>)</w:t>
      </w:r>
      <w:r w:rsidR="007A2A1A" w:rsidRPr="00B85BC2">
        <w:t> ;</w:t>
      </w:r>
      <w:r w:rsidRPr="00B85BC2">
        <w:t xml:space="preserve"> cinétique</w:t>
      </w:r>
      <w:r w:rsidR="007A2A1A" w:rsidRPr="00B85BC2">
        <w:t> ;</w:t>
      </w:r>
      <w:r w:rsidRPr="00B85BC2">
        <w:t xml:space="preserve"> isotherme d’adsorption</w:t>
      </w:r>
      <w:r w:rsidR="007A2A1A" w:rsidRPr="00B85BC2">
        <w:t> ;</w:t>
      </w:r>
      <w:r w:rsidRPr="00B85BC2">
        <w:t xml:space="preserve"> </w:t>
      </w:r>
      <w:r w:rsidRPr="00B85BC2">
        <w:rPr>
          <w:rFonts w:eastAsia="Calibri"/>
          <w:spacing w:val="3"/>
        </w:rPr>
        <w:t>adsorbants</w:t>
      </w:r>
      <w:r w:rsidRPr="00B85BC2">
        <w:rPr>
          <w:rFonts w:eastAsia="Calibri"/>
        </w:rPr>
        <w:t xml:space="preserve"> </w:t>
      </w:r>
      <w:r w:rsidRPr="00B85BC2">
        <w:rPr>
          <w:rFonts w:eastAsia="Calibri"/>
          <w:spacing w:val="2"/>
        </w:rPr>
        <w:t>naturels</w:t>
      </w:r>
      <w:r w:rsidR="007A2A1A" w:rsidRPr="00B85BC2">
        <w:rPr>
          <w:rFonts w:eastAsia="Calibri"/>
          <w:spacing w:val="2"/>
        </w:rPr>
        <w:t> ;</w:t>
      </w:r>
      <w:r w:rsidRPr="00B85BC2">
        <w:t xml:space="preserve"> argiles</w:t>
      </w:r>
      <w:r w:rsidR="007A2A1A" w:rsidRPr="00B85BC2">
        <w:t>.</w:t>
      </w:r>
    </w:p>
    <w:p w:rsidR="00507288" w:rsidRPr="00B85BC2" w:rsidRDefault="00507288" w:rsidP="00507288"/>
    <w:p w:rsidR="0058000E" w:rsidRPr="00B85BC2" w:rsidRDefault="0058000E" w:rsidP="00507288"/>
    <w:p w:rsidR="0058000E" w:rsidRPr="00B85BC2" w:rsidRDefault="0058000E" w:rsidP="00507288"/>
    <w:p w:rsidR="0058000E" w:rsidRPr="00B85BC2" w:rsidRDefault="0058000E" w:rsidP="00507288"/>
    <w:p w:rsidR="0058000E" w:rsidRPr="00B85BC2" w:rsidRDefault="0058000E" w:rsidP="00507288"/>
    <w:p w:rsidR="0058000E" w:rsidRPr="00B85BC2" w:rsidRDefault="0058000E" w:rsidP="00507288">
      <w:pPr>
        <w:rPr>
          <w:rtl/>
        </w:rPr>
      </w:pPr>
    </w:p>
    <w:tbl>
      <w:tblPr>
        <w:tblStyle w:val="Grilledutableau"/>
        <w:tblW w:w="0" w:type="auto"/>
        <w:tblLook w:val="04A0"/>
      </w:tblPr>
      <w:tblGrid>
        <w:gridCol w:w="9161"/>
      </w:tblGrid>
      <w:tr w:rsidR="00507288" w:rsidRPr="00B85BC2" w:rsidTr="00BF605E">
        <w:tc>
          <w:tcPr>
            <w:tcW w:w="9161" w:type="dxa"/>
            <w:tcBorders>
              <w:left w:val="nil"/>
              <w:right w:val="nil"/>
            </w:tcBorders>
          </w:tcPr>
          <w:p w:rsidR="00507288" w:rsidRPr="00B85BC2" w:rsidRDefault="00507288" w:rsidP="00DA7B8E">
            <w:pPr>
              <w:jc w:val="center"/>
              <w:rPr>
                <w:b/>
                <w:bCs/>
                <w:sz w:val="24"/>
                <w:szCs w:val="24"/>
              </w:rPr>
            </w:pPr>
            <w:r w:rsidRPr="00B85BC2">
              <w:rPr>
                <w:b/>
                <w:bCs/>
                <w:sz w:val="24"/>
                <w:szCs w:val="24"/>
              </w:rPr>
              <w:lastRenderedPageBreak/>
              <w:t>ABSTRACT</w:t>
            </w:r>
          </w:p>
        </w:tc>
      </w:tr>
    </w:tbl>
    <w:p w:rsidR="00507288" w:rsidRPr="00B85BC2" w:rsidRDefault="00507288" w:rsidP="00507288">
      <w:pPr>
        <w:spacing w:before="0"/>
        <w:ind w:firstLine="708"/>
      </w:pPr>
    </w:p>
    <w:p w:rsidR="002B606D" w:rsidRPr="00B85BC2" w:rsidRDefault="002B606D" w:rsidP="001B004A">
      <w:pPr>
        <w:spacing w:before="0"/>
        <w:rPr>
          <w:lang w:val="en-US"/>
        </w:rPr>
      </w:pPr>
      <w:r w:rsidRPr="00B85BC2">
        <w:rPr>
          <w:lang w:val="en-US"/>
        </w:rPr>
        <w:t>The objective of this present work is to carry out a detailed study on the performance of a local marl sampled in the region of Oum El Bouaghi for the elimination of copper (II), ch</w:t>
      </w:r>
      <w:r w:rsidR="001B004A" w:rsidRPr="00B85BC2">
        <w:rPr>
          <w:lang w:val="en-US"/>
        </w:rPr>
        <w:t>romium (VI) and manganese (II/</w:t>
      </w:r>
      <w:r w:rsidRPr="00B85BC2">
        <w:rPr>
          <w:lang w:val="en-US"/>
        </w:rPr>
        <w:t>VII) in aqueous solution. The physicochemical characterization of this new material was carried out by different techniques: Fourier transform infrared spectroscopy (FTIR), X-ray fluorescence spectrometry (FRX), X-ray diffraction (XRD) and th</w:t>
      </w:r>
      <w:r w:rsidR="001B004A" w:rsidRPr="00B85BC2">
        <w:rPr>
          <w:lang w:val="en-US"/>
        </w:rPr>
        <w:t xml:space="preserve">e scanning electron microscope </w:t>
      </w:r>
      <w:r w:rsidRPr="00B85BC2">
        <w:rPr>
          <w:lang w:val="en-US"/>
        </w:rPr>
        <w:t>(SEM), in addition to the determination of some physicochemical properties such as the specific surface (BET method), the cation exchange capacity (CEC), the natural pH and the zeta potential. This allowed us to establish a series of data with the different properties of this material. The various parameters such as: mass, pH, stirring speed, initial concentration and temperature were studied. The modeling of the experimental results by the use of the non</w:t>
      </w:r>
      <w:r w:rsidR="001B004A" w:rsidRPr="00B85BC2">
        <w:rPr>
          <w:lang w:val="en-US"/>
        </w:rPr>
        <w:t xml:space="preserve"> </w:t>
      </w:r>
      <w:r w:rsidRPr="00B85BC2">
        <w:rPr>
          <w:lang w:val="en-US"/>
        </w:rPr>
        <w:t xml:space="preserve">linear regression </w:t>
      </w:r>
      <w:r w:rsidR="001B004A" w:rsidRPr="00B85BC2">
        <w:rPr>
          <w:lang w:val="en-US"/>
        </w:rPr>
        <w:t xml:space="preserve">method shows that the retention </w:t>
      </w:r>
      <w:r w:rsidRPr="00B85BC2">
        <w:rPr>
          <w:lang w:val="en-US"/>
        </w:rPr>
        <w:t>of copper (II) and manganese</w:t>
      </w:r>
      <w:r w:rsidR="001B004A" w:rsidRPr="00B85BC2">
        <w:rPr>
          <w:lang w:val="en-US"/>
        </w:rPr>
        <w:t xml:space="preserve"> (II/</w:t>
      </w:r>
      <w:r w:rsidRPr="00B85BC2">
        <w:rPr>
          <w:lang w:val="en-US"/>
        </w:rPr>
        <w:t>VII) obey the Langmuir model while chromium (V</w:t>
      </w:r>
      <w:r w:rsidR="001B004A" w:rsidRPr="00B85BC2">
        <w:rPr>
          <w:lang w:val="en-US"/>
        </w:rPr>
        <w:t>I) follows the Freundlich model</w:t>
      </w:r>
      <w:r w:rsidRPr="00B85BC2">
        <w:rPr>
          <w:lang w:val="en-US"/>
        </w:rPr>
        <w:t>. The kinetic study shows that the pseudo-first order model describes well the experimental results of the three metal cations. T</w:t>
      </w:r>
      <w:r w:rsidR="001B004A" w:rsidRPr="00B85BC2">
        <w:rPr>
          <w:lang w:val="en-US"/>
        </w:rPr>
        <w:t>he thermodynamic parameters (ΔG°, ΔH</w:t>
      </w:r>
      <w:r w:rsidRPr="00B85BC2">
        <w:rPr>
          <w:lang w:val="en-US"/>
        </w:rPr>
        <w:t>°, a</w:t>
      </w:r>
      <w:r w:rsidR="001B004A" w:rsidRPr="00B85BC2">
        <w:rPr>
          <w:lang w:val="en-US"/>
        </w:rPr>
        <w:t>nd ΔS</w:t>
      </w:r>
      <w:r w:rsidRPr="00B85BC2">
        <w:rPr>
          <w:lang w:val="en-US"/>
        </w:rPr>
        <w:t>°) indicate that the process of ad</w:t>
      </w:r>
      <w:r w:rsidR="00344DCD">
        <w:rPr>
          <w:lang w:val="en-US"/>
        </w:rPr>
        <w:t>sorption of Cu(II) or Mn</w:t>
      </w:r>
      <w:r w:rsidR="001B004A" w:rsidRPr="00B85BC2">
        <w:rPr>
          <w:lang w:val="en-US"/>
        </w:rPr>
        <w:t>(II/</w:t>
      </w:r>
      <w:r w:rsidRPr="00B85BC2">
        <w:rPr>
          <w:lang w:val="en-US"/>
        </w:rPr>
        <w:t>VII) by marl is physical, end</w:t>
      </w:r>
      <w:r w:rsidR="001B004A" w:rsidRPr="00B85BC2">
        <w:rPr>
          <w:lang w:val="en-US"/>
        </w:rPr>
        <w:t xml:space="preserve">othermic, and spontaneous (ΔG°&lt; 0). Positive </w:t>
      </w:r>
      <w:r w:rsidR="00C74D67">
        <w:rPr>
          <w:lang w:val="en-US"/>
        </w:rPr>
        <w:t xml:space="preserve">values </w:t>
      </w:r>
      <w:r w:rsidR="001B004A" w:rsidRPr="00B85BC2">
        <w:rPr>
          <w:lang w:val="en-US"/>
        </w:rPr>
        <w:t>of ΔS</w:t>
      </w:r>
      <w:r w:rsidRPr="00B85BC2">
        <w:rPr>
          <w:lang w:val="en-US"/>
        </w:rPr>
        <w:t>° show an increase in disorder at the solid-liquid interface. The study of the adsorption of metal cations by marl revealed that copper (II) and chromium (VI) have more affinity than manganese (II /VII).</w:t>
      </w:r>
    </w:p>
    <w:p w:rsidR="0058000E" w:rsidRPr="00B85BC2" w:rsidRDefault="002B606D" w:rsidP="002B606D">
      <w:pPr>
        <w:rPr>
          <w:lang w:val="en-US"/>
        </w:rPr>
      </w:pPr>
      <w:r w:rsidRPr="00B85BC2">
        <w:rPr>
          <w:b/>
          <w:bCs/>
          <w:lang w:val="en-US"/>
        </w:rPr>
        <w:t>Keywords</w:t>
      </w:r>
      <w:r w:rsidRPr="00B85BC2">
        <w:rPr>
          <w:lang w:val="en-US"/>
        </w:rPr>
        <w:t>: adsorption; physico-chemical properties; environment; pollution; copper (II);</w:t>
      </w:r>
      <w:r w:rsidR="001B004A" w:rsidRPr="00B85BC2">
        <w:rPr>
          <w:lang w:val="en-US"/>
        </w:rPr>
        <w:t xml:space="preserve"> chromium (VI); manganese (II/</w:t>
      </w:r>
      <w:r w:rsidRPr="00B85BC2">
        <w:rPr>
          <w:lang w:val="en-US"/>
        </w:rPr>
        <w:t>VII); kinetics; adsorption isotherm; natural adsorbents; clays.</w:t>
      </w:r>
    </w:p>
    <w:p w:rsidR="0058000E" w:rsidRPr="00B85BC2" w:rsidRDefault="0058000E"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AE4AC7" w:rsidRPr="00B85BC2" w:rsidRDefault="00AE4AC7" w:rsidP="00507288">
      <w:pPr>
        <w:spacing w:before="0"/>
        <w:ind w:firstLine="708"/>
        <w:rPr>
          <w:lang w:val="en-US"/>
        </w:rPr>
      </w:pPr>
    </w:p>
    <w:p w:rsidR="0058000E" w:rsidRPr="00B85BC2" w:rsidRDefault="0058000E" w:rsidP="0014571C">
      <w:pPr>
        <w:spacing w:before="0"/>
        <w:rPr>
          <w:lang w:val="en-US"/>
        </w:rPr>
      </w:pPr>
    </w:p>
    <w:tbl>
      <w:tblPr>
        <w:tblStyle w:val="Grilledutableau"/>
        <w:tblW w:w="0" w:type="auto"/>
        <w:tblLook w:val="04A0"/>
      </w:tblPr>
      <w:tblGrid>
        <w:gridCol w:w="9161"/>
      </w:tblGrid>
      <w:tr w:rsidR="00507288" w:rsidRPr="00B85BC2" w:rsidTr="00BF605E">
        <w:tc>
          <w:tcPr>
            <w:tcW w:w="9161" w:type="dxa"/>
            <w:tcBorders>
              <w:left w:val="nil"/>
              <w:right w:val="nil"/>
            </w:tcBorders>
          </w:tcPr>
          <w:p w:rsidR="00507288" w:rsidRPr="00B85BC2" w:rsidRDefault="00507288" w:rsidP="00DA7B8E">
            <w:pPr>
              <w:jc w:val="center"/>
              <w:rPr>
                <w:b/>
                <w:bCs/>
                <w:sz w:val="24"/>
                <w:szCs w:val="24"/>
              </w:rPr>
            </w:pPr>
            <w:r w:rsidRPr="00B85BC2">
              <w:rPr>
                <w:b/>
                <w:bCs/>
                <w:sz w:val="24"/>
                <w:szCs w:val="24"/>
                <w:rtl/>
              </w:rPr>
              <w:lastRenderedPageBreak/>
              <w:t>ملخص</w:t>
            </w:r>
          </w:p>
        </w:tc>
      </w:tr>
    </w:tbl>
    <w:p w:rsidR="00507288" w:rsidRPr="00B85BC2" w:rsidRDefault="00507288" w:rsidP="00507288">
      <w:pPr>
        <w:spacing w:before="0"/>
        <w:ind w:firstLine="708"/>
        <w:jc w:val="right"/>
      </w:pPr>
    </w:p>
    <w:p w:rsidR="00D06D8D" w:rsidRPr="00B85BC2" w:rsidRDefault="00507288" w:rsidP="0075740A">
      <w:pPr>
        <w:spacing w:before="0"/>
        <w:jc w:val="right"/>
        <w:rPr>
          <w:rFonts w:cs="Times New Roman"/>
          <w:rtl/>
        </w:rPr>
      </w:pPr>
      <w:r w:rsidRPr="00B85BC2">
        <w:rPr>
          <w:rtl/>
        </w:rPr>
        <w:t>الهدف من العمل المقدم هو القيام بدراسة مفصلة حول فعالية المارن</w:t>
      </w:r>
      <w:r w:rsidR="00411E6E" w:rsidRPr="00B85BC2">
        <w:rPr>
          <w:rFonts w:hint="cs"/>
          <w:rtl/>
        </w:rPr>
        <w:t xml:space="preserve"> المحلية</w:t>
      </w:r>
      <w:r w:rsidRPr="00B85BC2">
        <w:rPr>
          <w:rtl/>
        </w:rPr>
        <w:t xml:space="preserve"> </w:t>
      </w:r>
      <w:r w:rsidR="00677961" w:rsidRPr="00B85BC2">
        <w:rPr>
          <w:rFonts w:cs="Times New Roman"/>
          <w:rtl/>
        </w:rPr>
        <w:t xml:space="preserve">التي تم جمعها من منطقة </w:t>
      </w:r>
      <w:r w:rsidR="00680BFC" w:rsidRPr="00B85BC2">
        <w:rPr>
          <w:rFonts w:cs="Times New Roman" w:hint="cs"/>
          <w:rtl/>
        </w:rPr>
        <w:t>أ</w:t>
      </w:r>
      <w:r w:rsidR="00677961" w:rsidRPr="00B85BC2">
        <w:rPr>
          <w:rFonts w:cs="Times New Roman"/>
          <w:rtl/>
        </w:rPr>
        <w:t>م البواقي وذلك بغرض استخدامها لنزع</w:t>
      </w:r>
      <w:r w:rsidRPr="00B85BC2">
        <w:rPr>
          <w:rtl/>
        </w:rPr>
        <w:t xml:space="preserve"> النحاس (II)</w:t>
      </w:r>
      <w:r w:rsidR="0014571C" w:rsidRPr="00B85BC2">
        <w:rPr>
          <w:rFonts w:hint="cs"/>
          <w:rtl/>
        </w:rPr>
        <w:t xml:space="preserve"> ، </w:t>
      </w:r>
      <w:r w:rsidRPr="00B85BC2">
        <w:rPr>
          <w:rtl/>
        </w:rPr>
        <w:t>الكروم(VI) و المنغنيز(</w:t>
      </w:r>
      <w:r w:rsidR="00441718" w:rsidRPr="00B85BC2">
        <w:rPr>
          <w:rtl/>
        </w:rPr>
        <w:t>IIV</w:t>
      </w:r>
      <w:r w:rsidR="00441718" w:rsidRPr="00B85BC2">
        <w:rPr>
          <w:rFonts w:hint="cs"/>
          <w:rtl/>
        </w:rPr>
        <w:t>/</w:t>
      </w:r>
      <w:r w:rsidR="00441718" w:rsidRPr="00B85BC2">
        <w:rPr>
          <w:rtl/>
        </w:rPr>
        <w:t>II</w:t>
      </w:r>
      <w:r w:rsidRPr="00B85BC2">
        <w:rPr>
          <w:rtl/>
        </w:rPr>
        <w:t xml:space="preserve">) </w:t>
      </w:r>
      <w:r w:rsidR="00677961" w:rsidRPr="00B85BC2">
        <w:rPr>
          <w:rFonts w:cs="Times New Roman"/>
          <w:rtl/>
        </w:rPr>
        <w:t>من محلول مائي</w:t>
      </w:r>
      <w:r w:rsidRPr="00B85BC2">
        <w:rPr>
          <w:rtl/>
        </w:rPr>
        <w:t>.</w:t>
      </w:r>
      <w:r w:rsidR="00FE43AE" w:rsidRPr="00B85BC2">
        <w:rPr>
          <w:rFonts w:hint="cs"/>
          <w:rtl/>
        </w:rPr>
        <w:t xml:space="preserve"> </w:t>
      </w:r>
      <w:r w:rsidRPr="00B85BC2">
        <w:rPr>
          <w:rtl/>
        </w:rPr>
        <w:t>الكشف عن الخصائص الفيزيائية الكيميائية لهذه المادة الجديدة تم باستخدام عدة تقنيات : مطيافية الأشعة تحت الحمراء</w:t>
      </w:r>
      <w:r w:rsidR="002A0AC7" w:rsidRPr="00B85BC2">
        <w:rPr>
          <w:rFonts w:hint="cs"/>
          <w:rtl/>
        </w:rPr>
        <w:t xml:space="preserve"> </w:t>
      </w:r>
      <w:r w:rsidRPr="00B85BC2">
        <w:rPr>
          <w:rtl/>
        </w:rPr>
        <w:t>(FTIR)</w:t>
      </w:r>
      <w:r w:rsidR="003701DF" w:rsidRPr="00B85BC2">
        <w:rPr>
          <w:rFonts w:hint="cs"/>
          <w:rtl/>
        </w:rPr>
        <w:t xml:space="preserve"> ،</w:t>
      </w:r>
      <w:r w:rsidRPr="00B85BC2">
        <w:rPr>
          <w:rtl/>
        </w:rPr>
        <w:t xml:space="preserve"> </w:t>
      </w:r>
      <w:r w:rsidR="00823ED4" w:rsidRPr="00B85BC2">
        <w:rPr>
          <w:rFonts w:hint="cs"/>
          <w:rtl/>
        </w:rPr>
        <w:t>إن</w:t>
      </w:r>
      <w:r w:rsidRPr="00B85BC2">
        <w:rPr>
          <w:rtl/>
        </w:rPr>
        <w:t>كسارالأشعة السينية</w:t>
      </w:r>
      <w:r w:rsidR="002A0AC7" w:rsidRPr="00B85BC2">
        <w:rPr>
          <w:rFonts w:hint="cs"/>
          <w:rtl/>
        </w:rPr>
        <w:t xml:space="preserve"> </w:t>
      </w:r>
      <w:r w:rsidRPr="00B85BC2">
        <w:rPr>
          <w:rtl/>
        </w:rPr>
        <w:t>(RXD)</w:t>
      </w:r>
      <w:r w:rsidR="003701DF" w:rsidRPr="00B85BC2">
        <w:rPr>
          <w:rFonts w:hint="cs"/>
          <w:rtl/>
        </w:rPr>
        <w:t>،</w:t>
      </w:r>
      <w:r w:rsidRPr="00B85BC2">
        <w:rPr>
          <w:rtl/>
        </w:rPr>
        <w:t xml:space="preserve"> المجهر الالكتروني الماسح</w:t>
      </w:r>
      <w:r w:rsidR="002A0AC7" w:rsidRPr="00B85BC2">
        <w:rPr>
          <w:rFonts w:hint="cs"/>
          <w:rtl/>
        </w:rPr>
        <w:t xml:space="preserve"> </w:t>
      </w:r>
      <w:r w:rsidRPr="00B85BC2">
        <w:rPr>
          <w:rtl/>
        </w:rPr>
        <w:t>(MEB)</w:t>
      </w:r>
      <w:r w:rsidR="003701DF" w:rsidRPr="00B85BC2">
        <w:rPr>
          <w:rFonts w:hint="cs"/>
          <w:rtl/>
        </w:rPr>
        <w:t xml:space="preserve">. </w:t>
      </w:r>
      <w:r w:rsidRPr="00B85BC2">
        <w:rPr>
          <w:rtl/>
        </w:rPr>
        <w:t xml:space="preserve">تم تحديد بعض الخصائص الفيزيائية الكيميائية مثل </w:t>
      </w:r>
      <w:r w:rsidRPr="00B85BC2">
        <w:rPr>
          <w:rtl/>
          <w:lang w:bidi="ar-DZ"/>
        </w:rPr>
        <w:t xml:space="preserve">مساحة السطح (طريقة BET) </w:t>
      </w:r>
      <w:r w:rsidR="0014571C" w:rsidRPr="00B85BC2">
        <w:rPr>
          <w:rFonts w:hint="cs"/>
          <w:rtl/>
        </w:rPr>
        <w:t xml:space="preserve">، </w:t>
      </w:r>
      <w:r w:rsidRPr="00B85BC2">
        <w:rPr>
          <w:rtl/>
          <w:lang w:bidi="ar-DZ"/>
        </w:rPr>
        <w:t>قدرة تبادل الكاتيونات (CEC)</w:t>
      </w:r>
      <w:r w:rsidR="0014571C" w:rsidRPr="00B85BC2">
        <w:rPr>
          <w:rFonts w:hint="cs"/>
          <w:rtl/>
        </w:rPr>
        <w:t xml:space="preserve"> ، </w:t>
      </w:r>
      <w:r w:rsidRPr="00B85BC2">
        <w:rPr>
          <w:rFonts w:eastAsia="Calibri"/>
          <w:b/>
          <w:i/>
          <w:rtl/>
        </w:rPr>
        <w:t>pH</w:t>
      </w:r>
      <w:r w:rsidRPr="00B85BC2">
        <w:rPr>
          <w:rtl/>
          <w:lang w:bidi="ar-DZ"/>
        </w:rPr>
        <w:t xml:space="preserve"> الطبيعي</w:t>
      </w:r>
      <w:r w:rsidR="0014571C" w:rsidRPr="00B85BC2">
        <w:rPr>
          <w:rFonts w:hint="cs"/>
          <w:rtl/>
        </w:rPr>
        <w:t>،</w:t>
      </w:r>
      <w:r w:rsidRPr="00B85BC2">
        <w:rPr>
          <w:rtl/>
          <w:lang w:bidi="ar-DZ"/>
        </w:rPr>
        <w:t xml:space="preserve"> </w:t>
      </w:r>
      <w:r w:rsidR="00074456" w:rsidRPr="00B85BC2">
        <w:rPr>
          <w:rFonts w:eastAsia="Calibri" w:hint="cs"/>
          <w:b/>
          <w:i/>
          <w:rtl/>
        </w:rPr>
        <w:t>القدرة زيتا</w:t>
      </w:r>
      <w:r w:rsidR="0075740A" w:rsidRPr="00B85BC2">
        <w:rPr>
          <w:rFonts w:hint="cs"/>
          <w:rtl/>
        </w:rPr>
        <w:t>،</w:t>
      </w:r>
      <w:r w:rsidR="00074456" w:rsidRPr="00B85BC2">
        <w:rPr>
          <w:rFonts w:eastAsia="Calibri" w:hint="cs"/>
          <w:b/>
          <w:i/>
          <w:rtl/>
        </w:rPr>
        <w:t xml:space="preserve"> </w:t>
      </w:r>
      <w:r w:rsidR="003701DF" w:rsidRPr="00B85BC2">
        <w:rPr>
          <w:rFonts w:eastAsia="Calibri" w:cs="Times New Roman" w:hint="cs"/>
          <w:b/>
          <w:i/>
          <w:rtl/>
        </w:rPr>
        <w:t xml:space="preserve">حيث </w:t>
      </w:r>
      <w:r w:rsidR="00074456" w:rsidRPr="00B85BC2">
        <w:rPr>
          <w:rFonts w:eastAsia="Calibri" w:cs="Times New Roman"/>
          <w:b/>
          <w:i/>
          <w:rtl/>
        </w:rPr>
        <w:t xml:space="preserve"> يتيح  لنا</w:t>
      </w:r>
      <w:r w:rsidR="003701DF" w:rsidRPr="00B85BC2">
        <w:rPr>
          <w:rFonts w:eastAsia="Calibri" w:cs="Times New Roman" w:hint="cs"/>
          <w:b/>
          <w:i/>
          <w:rtl/>
        </w:rPr>
        <w:t xml:space="preserve"> ذلك</w:t>
      </w:r>
      <w:r w:rsidR="00074456" w:rsidRPr="00B85BC2">
        <w:rPr>
          <w:rFonts w:eastAsia="Calibri" w:cs="Times New Roman"/>
          <w:b/>
          <w:i/>
          <w:rtl/>
        </w:rPr>
        <w:t xml:space="preserve"> إنشاء سلسلة من البيانات التي</w:t>
      </w:r>
      <w:r w:rsidR="00074456" w:rsidRPr="00B85BC2">
        <w:rPr>
          <w:rFonts w:eastAsia="Calibri" w:cs="Times New Roman" w:hint="cs"/>
          <w:b/>
          <w:i/>
          <w:rtl/>
        </w:rPr>
        <w:t xml:space="preserve"> </w:t>
      </w:r>
      <w:r w:rsidR="00074456" w:rsidRPr="00B85BC2">
        <w:rPr>
          <w:rFonts w:eastAsia="Calibri" w:cs="Times New Roman"/>
          <w:b/>
          <w:i/>
          <w:rtl/>
        </w:rPr>
        <w:t>تشمل مختلف خصائص هذه الماد</w:t>
      </w:r>
      <w:r w:rsidR="00074456" w:rsidRPr="00B85BC2">
        <w:rPr>
          <w:rFonts w:eastAsia="Calibri" w:cs="Times New Roman" w:hint="cs"/>
          <w:b/>
          <w:i/>
          <w:rtl/>
        </w:rPr>
        <w:t>ة.</w:t>
      </w:r>
      <w:r w:rsidR="00D4638D" w:rsidRPr="00B85BC2">
        <w:rPr>
          <w:rFonts w:eastAsia="Calibri" w:cs="Times New Roman" w:hint="cs"/>
          <w:b/>
          <w:i/>
          <w:rtl/>
        </w:rPr>
        <w:t xml:space="preserve"> </w:t>
      </w:r>
      <w:r w:rsidR="00AE4AC7" w:rsidRPr="00B85BC2">
        <w:rPr>
          <w:rFonts w:eastAsia="Calibri" w:cs="Times New Roman"/>
          <w:b/>
          <w:i/>
          <w:rtl/>
        </w:rPr>
        <w:t>تمت دراسة</w:t>
      </w:r>
      <w:r w:rsidRPr="00B85BC2">
        <w:rPr>
          <w:rFonts w:eastAsia="Calibri"/>
          <w:b/>
          <w:i/>
          <w:rtl/>
        </w:rPr>
        <w:t xml:space="preserve"> </w:t>
      </w:r>
      <w:r w:rsidR="00AE4AC7" w:rsidRPr="00B85BC2">
        <w:rPr>
          <w:rFonts w:eastAsia="Calibri"/>
          <w:b/>
          <w:i/>
          <w:rtl/>
        </w:rPr>
        <w:t xml:space="preserve">مختلف </w:t>
      </w:r>
      <w:r w:rsidRPr="00B85BC2">
        <w:rPr>
          <w:rFonts w:eastAsia="Calibri"/>
          <w:b/>
          <w:i/>
          <w:rtl/>
        </w:rPr>
        <w:t>العوامل المرافقة ل</w:t>
      </w:r>
      <w:r w:rsidR="00823ED4" w:rsidRPr="00B85BC2">
        <w:rPr>
          <w:rFonts w:eastAsia="Calibri" w:hint="cs"/>
          <w:b/>
          <w:i/>
          <w:rtl/>
        </w:rPr>
        <w:t>إ</w:t>
      </w:r>
      <w:r w:rsidRPr="00B85BC2">
        <w:rPr>
          <w:rFonts w:eastAsia="Calibri"/>
          <w:b/>
          <w:i/>
          <w:rtl/>
        </w:rPr>
        <w:t>متزاز الملوثات على المارن مثل</w:t>
      </w:r>
      <w:r w:rsidR="0089474F" w:rsidRPr="00B85BC2">
        <w:rPr>
          <w:rFonts w:eastAsia="Calibri" w:hint="cs"/>
          <w:b/>
          <w:i/>
          <w:rtl/>
        </w:rPr>
        <w:t>:</w:t>
      </w:r>
      <w:r w:rsidR="0089474F" w:rsidRPr="00B85BC2">
        <w:rPr>
          <w:rFonts w:eastAsia="Calibri" w:hint="cs"/>
          <w:b/>
          <w:i/>
          <w:rtl/>
          <w:lang w:bidi="ar-DZ"/>
        </w:rPr>
        <w:t xml:space="preserve"> كتلة </w:t>
      </w:r>
      <w:r w:rsidR="006F6FDA" w:rsidRPr="00B85BC2">
        <w:rPr>
          <w:rFonts w:eastAsia="Calibri" w:cs="Times New Roman"/>
          <w:b/>
          <w:i/>
          <w:rtl/>
          <w:lang w:bidi="ar-DZ"/>
        </w:rPr>
        <w:t>المادة المازة</w:t>
      </w:r>
      <w:r w:rsidR="002A0AC7" w:rsidRPr="00B85BC2">
        <w:rPr>
          <w:rFonts w:eastAsia="Calibri" w:cs="Times New Roman" w:hint="cs"/>
          <w:b/>
          <w:i/>
          <w:rtl/>
          <w:lang w:bidi="ar-DZ"/>
        </w:rPr>
        <w:t xml:space="preserve"> </w:t>
      </w:r>
      <w:r w:rsidR="0014571C" w:rsidRPr="00B85BC2">
        <w:rPr>
          <w:rFonts w:hint="cs"/>
          <w:rtl/>
        </w:rPr>
        <w:t xml:space="preserve">، </w:t>
      </w:r>
      <w:r w:rsidR="0089474F" w:rsidRPr="00B85BC2">
        <w:rPr>
          <w:rFonts w:eastAsia="Calibri"/>
          <w:b/>
          <w:i/>
          <w:rtl/>
        </w:rPr>
        <w:t>pH</w:t>
      </w:r>
      <w:r w:rsidR="002A0AC7" w:rsidRPr="00B85BC2">
        <w:rPr>
          <w:rFonts w:eastAsia="Calibri" w:hint="cs"/>
          <w:b/>
          <w:i/>
          <w:rtl/>
        </w:rPr>
        <w:t xml:space="preserve"> </w:t>
      </w:r>
      <w:r w:rsidR="0014571C" w:rsidRPr="00B85BC2">
        <w:rPr>
          <w:rFonts w:hint="cs"/>
          <w:rtl/>
        </w:rPr>
        <w:t xml:space="preserve">، </w:t>
      </w:r>
      <w:r w:rsidRPr="00B85BC2">
        <w:rPr>
          <w:rFonts w:eastAsia="Calibri"/>
          <w:b/>
          <w:i/>
          <w:rtl/>
        </w:rPr>
        <w:t xml:space="preserve"> سرعة</w:t>
      </w:r>
      <w:r w:rsidR="0089474F" w:rsidRPr="00B85BC2">
        <w:rPr>
          <w:rFonts w:eastAsia="Calibri"/>
          <w:b/>
          <w:i/>
          <w:rtl/>
        </w:rPr>
        <w:t xml:space="preserve"> الاهتزاز</w:t>
      </w:r>
      <w:r w:rsidR="0014571C" w:rsidRPr="00B85BC2">
        <w:rPr>
          <w:rFonts w:hint="cs"/>
          <w:rtl/>
        </w:rPr>
        <w:t xml:space="preserve">، </w:t>
      </w:r>
      <w:r w:rsidR="0089474F" w:rsidRPr="00B85BC2">
        <w:rPr>
          <w:rFonts w:eastAsia="Calibri"/>
          <w:b/>
          <w:i/>
          <w:rtl/>
        </w:rPr>
        <w:t xml:space="preserve"> التركيز الابتدائي</w:t>
      </w:r>
      <w:r w:rsidR="0089474F" w:rsidRPr="00B85BC2">
        <w:rPr>
          <w:rFonts w:eastAsia="Calibri" w:hint="cs"/>
          <w:b/>
          <w:i/>
          <w:rtl/>
        </w:rPr>
        <w:t xml:space="preserve"> و</w:t>
      </w:r>
      <w:r w:rsidR="006F6FDA" w:rsidRPr="00B85BC2">
        <w:rPr>
          <w:rtl/>
        </w:rPr>
        <w:t xml:space="preserve"> </w:t>
      </w:r>
      <w:r w:rsidR="006F6FDA" w:rsidRPr="00B85BC2">
        <w:rPr>
          <w:rFonts w:eastAsia="Calibri" w:cs="Times New Roman"/>
          <w:b/>
          <w:i/>
          <w:rtl/>
        </w:rPr>
        <w:t>درجة الحرارة</w:t>
      </w:r>
      <w:r w:rsidR="00A401C1" w:rsidRPr="00B85BC2">
        <w:rPr>
          <w:rFonts w:eastAsia="Calibri" w:cs="Times New Roman" w:hint="cs"/>
          <w:b/>
          <w:i/>
          <w:rtl/>
        </w:rPr>
        <w:t xml:space="preserve"> </w:t>
      </w:r>
      <w:r w:rsidR="0089474F" w:rsidRPr="00B85BC2">
        <w:rPr>
          <w:rFonts w:eastAsia="Calibri" w:hint="cs"/>
          <w:b/>
          <w:i/>
          <w:rtl/>
        </w:rPr>
        <w:t>.</w:t>
      </w:r>
      <w:r w:rsidR="00AE4AC7" w:rsidRPr="00B85BC2">
        <w:rPr>
          <w:rtl/>
        </w:rPr>
        <w:t xml:space="preserve"> ت</w:t>
      </w:r>
      <w:r w:rsidR="0058000E" w:rsidRPr="00B85BC2">
        <w:rPr>
          <w:rFonts w:eastAsia="Calibri"/>
          <w:b/>
          <w:i/>
          <w:rtl/>
        </w:rPr>
        <w:t>وضح نمذجة النتائج التجريبية</w:t>
      </w:r>
      <w:r w:rsidR="00EF1667" w:rsidRPr="00B85BC2">
        <w:rPr>
          <w:rtl/>
        </w:rPr>
        <w:t xml:space="preserve"> </w:t>
      </w:r>
      <w:r w:rsidR="00EF1667" w:rsidRPr="00B85BC2">
        <w:rPr>
          <w:rFonts w:eastAsia="Calibri" w:cs="Times New Roman"/>
          <w:b/>
          <w:i/>
          <w:rtl/>
        </w:rPr>
        <w:t>باستخدام الطريقة  الغير خطية</w:t>
      </w:r>
      <w:r w:rsidR="0058000E" w:rsidRPr="00B85BC2">
        <w:rPr>
          <w:rFonts w:eastAsia="Calibri"/>
          <w:b/>
          <w:i/>
          <w:rtl/>
          <w:lang w:bidi="ar-DZ"/>
        </w:rPr>
        <w:t xml:space="preserve"> أن </w:t>
      </w:r>
      <w:r w:rsidR="002A0AC7" w:rsidRPr="00B85BC2">
        <w:rPr>
          <w:rFonts w:eastAsia="Calibri" w:hint="cs"/>
          <w:b/>
          <w:i/>
          <w:rtl/>
        </w:rPr>
        <w:t>إ</w:t>
      </w:r>
      <w:r w:rsidR="0058000E" w:rsidRPr="00B85BC2">
        <w:rPr>
          <w:rFonts w:eastAsia="Calibri"/>
          <w:b/>
          <w:i/>
          <w:rtl/>
        </w:rPr>
        <w:t xml:space="preserve">متزاز </w:t>
      </w:r>
      <w:r w:rsidR="00677961" w:rsidRPr="00B85BC2">
        <w:rPr>
          <w:rtl/>
        </w:rPr>
        <w:t>النحاس (II)</w:t>
      </w:r>
      <w:r w:rsidR="00AB6623" w:rsidRPr="00B85BC2">
        <w:rPr>
          <w:rFonts w:hint="cs"/>
          <w:rtl/>
        </w:rPr>
        <w:t xml:space="preserve"> والمنغنيز</w:t>
      </w:r>
      <w:r w:rsidR="00036EEA" w:rsidRPr="00B85BC2">
        <w:rPr>
          <w:rtl/>
        </w:rPr>
        <w:t xml:space="preserve"> </w:t>
      </w:r>
      <w:r w:rsidR="00AB6623" w:rsidRPr="00B85BC2">
        <w:rPr>
          <w:rtl/>
        </w:rPr>
        <w:t>(VII</w:t>
      </w:r>
      <w:r w:rsidR="00AB6623" w:rsidRPr="00B85BC2">
        <w:rPr>
          <w:rFonts w:hint="cs"/>
          <w:rtl/>
        </w:rPr>
        <w:t>/</w:t>
      </w:r>
      <w:r w:rsidR="00AB6623" w:rsidRPr="00B85BC2">
        <w:rPr>
          <w:rtl/>
        </w:rPr>
        <w:t>II)</w:t>
      </w:r>
      <w:r w:rsidR="00AB6623" w:rsidRPr="00B85BC2">
        <w:rPr>
          <w:rFonts w:hint="cs"/>
          <w:rtl/>
        </w:rPr>
        <w:t xml:space="preserve"> يخضع</w:t>
      </w:r>
      <w:r w:rsidR="00A401C1" w:rsidRPr="00B85BC2">
        <w:rPr>
          <w:rFonts w:hint="cs"/>
          <w:rtl/>
        </w:rPr>
        <w:t xml:space="preserve"> كل منهما</w:t>
      </w:r>
      <w:r w:rsidR="00AB6623" w:rsidRPr="00B85BC2">
        <w:rPr>
          <w:rFonts w:cs="Times New Roman" w:hint="cs"/>
          <w:rtl/>
        </w:rPr>
        <w:t xml:space="preserve">  </w:t>
      </w:r>
      <w:r w:rsidR="00AB6623" w:rsidRPr="00B85BC2">
        <w:rPr>
          <w:rFonts w:eastAsia="Calibri"/>
          <w:b/>
          <w:i/>
          <w:rtl/>
        </w:rPr>
        <w:t>ل</w:t>
      </w:r>
      <w:r w:rsidR="00AB6623" w:rsidRPr="00B85BC2">
        <w:rPr>
          <w:rFonts w:cs="Times New Roman"/>
          <w:rtl/>
        </w:rPr>
        <w:t xml:space="preserve">نموذج </w:t>
      </w:r>
      <w:r w:rsidR="00AB6623" w:rsidRPr="00B85BC2">
        <w:rPr>
          <w:rFonts w:eastAsia="Calibri" w:cs="Times New Roman"/>
          <w:b/>
          <w:i/>
          <w:rtl/>
        </w:rPr>
        <w:t>لان</w:t>
      </w:r>
      <w:r w:rsidR="00E15C15" w:rsidRPr="00B85BC2">
        <w:rPr>
          <w:rFonts w:eastAsia="Calibri" w:cs="Times New Roman" w:hint="cs"/>
          <w:b/>
          <w:i/>
          <w:rtl/>
        </w:rPr>
        <w:t>غ</w:t>
      </w:r>
      <w:r w:rsidR="00AB6623" w:rsidRPr="00B85BC2">
        <w:rPr>
          <w:rFonts w:eastAsia="Calibri" w:cs="Times New Roman"/>
          <w:b/>
          <w:i/>
          <w:rtl/>
        </w:rPr>
        <w:t>مير</w:t>
      </w:r>
      <w:r w:rsidR="00AB6623" w:rsidRPr="00B85BC2">
        <w:rPr>
          <w:rFonts w:cs="Times New Roman" w:hint="cs"/>
          <w:rtl/>
        </w:rPr>
        <w:t xml:space="preserve"> </w:t>
      </w:r>
      <w:r w:rsidR="00AB6623" w:rsidRPr="00B85BC2">
        <w:rPr>
          <w:rFonts w:cs="Times New Roman"/>
          <w:rtl/>
        </w:rPr>
        <w:t>بينما</w:t>
      </w:r>
      <w:r w:rsidR="00AB6623" w:rsidRPr="00B85BC2">
        <w:rPr>
          <w:rFonts w:cs="Times New Roman" w:hint="cs"/>
          <w:rtl/>
        </w:rPr>
        <w:t xml:space="preserve"> </w:t>
      </w:r>
      <w:r w:rsidR="00AB6623" w:rsidRPr="00B85BC2">
        <w:rPr>
          <w:rFonts w:cs="Times New Roman"/>
          <w:rtl/>
        </w:rPr>
        <w:t>يتبع الكروم</w:t>
      </w:r>
      <w:r w:rsidR="00CA3E8A" w:rsidRPr="00B85BC2">
        <w:rPr>
          <w:rFonts w:cs="Times New Roman" w:hint="cs"/>
          <w:rtl/>
        </w:rPr>
        <w:t xml:space="preserve"> </w:t>
      </w:r>
      <w:r w:rsidR="00AB6623" w:rsidRPr="00B85BC2">
        <w:rPr>
          <w:rFonts w:ascii="Times New Roman" w:hAnsi="Times New Roman" w:cs="Times New Roman"/>
          <w:rtl/>
        </w:rPr>
        <w:t>(VI)</w:t>
      </w:r>
      <w:r w:rsidR="00AB6623" w:rsidRPr="00B85BC2">
        <w:rPr>
          <w:rFonts w:cs="Times New Roman" w:hint="cs"/>
          <w:rtl/>
        </w:rPr>
        <w:t xml:space="preserve"> نموذج فرونليتش </w:t>
      </w:r>
      <w:r w:rsidR="00006D38" w:rsidRPr="00B85BC2">
        <w:rPr>
          <w:rFonts w:cs="Times New Roman" w:hint="cs"/>
          <w:rtl/>
        </w:rPr>
        <w:t>.</w:t>
      </w:r>
      <w:r w:rsidR="00491690" w:rsidRPr="00491690">
        <w:rPr>
          <w:rFonts w:eastAsia="Calibri" w:hint="cs"/>
          <w:b/>
          <w:i/>
          <w:rtl/>
        </w:rPr>
        <w:t xml:space="preserve"> </w:t>
      </w:r>
      <w:r w:rsidR="00491690" w:rsidRPr="00B85BC2">
        <w:rPr>
          <w:rFonts w:eastAsia="Calibri" w:hint="cs"/>
          <w:b/>
          <w:i/>
          <w:rtl/>
        </w:rPr>
        <w:t>إن</w:t>
      </w:r>
      <w:r w:rsidR="00CA3E8A" w:rsidRPr="00B85BC2">
        <w:rPr>
          <w:rFonts w:cs="Times New Roman" w:hint="cs"/>
          <w:rtl/>
        </w:rPr>
        <w:t xml:space="preserve"> </w:t>
      </w:r>
      <w:r w:rsidR="000C606E" w:rsidRPr="00B85BC2">
        <w:rPr>
          <w:rFonts w:cs="Times New Roman" w:hint="cs"/>
          <w:rtl/>
          <w:lang w:bidi="ar-DZ"/>
        </w:rPr>
        <w:t>دراسة</w:t>
      </w:r>
      <w:r w:rsidR="00AB6623" w:rsidRPr="00B85BC2">
        <w:rPr>
          <w:rFonts w:cs="Times New Roman" w:hint="cs"/>
          <w:rtl/>
        </w:rPr>
        <w:t xml:space="preserve"> حركية هذه الكاتيونات المعدنية</w:t>
      </w:r>
      <w:r w:rsidR="002A0AC7" w:rsidRPr="00B85BC2">
        <w:rPr>
          <w:rFonts w:cs="Times New Roman" w:hint="cs"/>
          <w:rtl/>
        </w:rPr>
        <w:t xml:space="preserve"> الثلاثة</w:t>
      </w:r>
      <w:r w:rsidR="00AB6623" w:rsidRPr="00B85BC2">
        <w:rPr>
          <w:rFonts w:cs="Times New Roman" w:hint="cs"/>
          <w:rtl/>
        </w:rPr>
        <w:t xml:space="preserve"> </w:t>
      </w:r>
      <w:r w:rsidR="00D06D8D" w:rsidRPr="00B85BC2">
        <w:rPr>
          <w:rFonts w:cs="Times New Roman" w:hint="cs"/>
          <w:rtl/>
        </w:rPr>
        <w:t xml:space="preserve">أثبتت أنها تتبع </w:t>
      </w:r>
      <w:r w:rsidR="00AB6623" w:rsidRPr="00B85BC2">
        <w:rPr>
          <w:rFonts w:cs="Times New Roman" w:hint="cs"/>
          <w:rtl/>
        </w:rPr>
        <w:t>الرتبة الأولى</w:t>
      </w:r>
      <w:r w:rsidR="00CA3E8A" w:rsidRPr="00B85BC2">
        <w:rPr>
          <w:rFonts w:cs="Times New Roman" w:hint="cs"/>
          <w:rtl/>
        </w:rPr>
        <w:t>.</w:t>
      </w:r>
    </w:p>
    <w:p w:rsidR="0058000E" w:rsidRPr="00B85BC2" w:rsidRDefault="00CA3E8A" w:rsidP="00BD7AD7">
      <w:pPr>
        <w:spacing w:before="0"/>
        <w:jc w:val="right"/>
        <w:rPr>
          <w:rFonts w:eastAsia="Calibri"/>
          <w:b/>
          <w:i/>
          <w:rtl/>
        </w:rPr>
      </w:pPr>
      <w:r w:rsidRPr="00B85BC2">
        <w:rPr>
          <w:rFonts w:eastAsia="Calibri" w:hint="cs"/>
          <w:b/>
          <w:i/>
          <w:rtl/>
          <w:lang w:bidi="ar-DZ"/>
        </w:rPr>
        <w:t xml:space="preserve"> أظهرت</w:t>
      </w:r>
      <w:r w:rsidRPr="00B85BC2">
        <w:rPr>
          <w:rtl/>
        </w:rPr>
        <w:t xml:space="preserve"> </w:t>
      </w:r>
      <w:r w:rsidRPr="00B85BC2">
        <w:rPr>
          <w:rFonts w:eastAsia="Calibri" w:cs="Times New Roman"/>
          <w:b/>
          <w:i/>
          <w:rtl/>
        </w:rPr>
        <w:t>مقادير الديناميكية الحرارية</w:t>
      </w:r>
      <w:r w:rsidR="00F74046" w:rsidRPr="00B85BC2">
        <w:rPr>
          <w:rFonts w:eastAsia="Calibri"/>
          <w:b/>
          <w:i/>
          <w:rtl/>
        </w:rPr>
        <w:t>(°</w:t>
      </w:r>
      <w:r w:rsidR="00F74046">
        <w:rPr>
          <w:rFonts w:eastAsia="Calibri"/>
          <w:b/>
          <w:i/>
          <w:rtl/>
        </w:rPr>
        <w:t>S</w:t>
      </w:r>
      <w:r w:rsidR="00F74046" w:rsidRPr="00B85BC2">
        <w:rPr>
          <w:rFonts w:ascii="Viner Hand ITC" w:eastAsia="Calibri" w:hAnsi="Viner Hand ITC"/>
          <w:b/>
          <w:i/>
          <w:rtl/>
        </w:rPr>
        <w:t>∆</w:t>
      </w:r>
      <w:r w:rsidR="00F74046" w:rsidRPr="00B85BC2">
        <w:rPr>
          <w:rFonts w:hint="cs"/>
          <w:rtl/>
        </w:rPr>
        <w:t>،</w:t>
      </w:r>
      <w:r w:rsidR="00F74046" w:rsidRPr="00B85BC2">
        <w:rPr>
          <w:rFonts w:eastAsia="Calibri"/>
          <w:b/>
          <w:i/>
          <w:rtl/>
        </w:rPr>
        <w:t>°</w:t>
      </w:r>
      <w:r w:rsidR="00F74046">
        <w:rPr>
          <w:rFonts w:eastAsia="Calibri"/>
          <w:b/>
          <w:i/>
          <w:rtl/>
        </w:rPr>
        <w:t>H</w:t>
      </w:r>
      <w:r w:rsidR="00F74046" w:rsidRPr="00B85BC2">
        <w:rPr>
          <w:rFonts w:ascii="Viner Hand ITC" w:eastAsia="Calibri" w:hAnsi="Viner Hand ITC"/>
          <w:b/>
          <w:i/>
          <w:rtl/>
        </w:rPr>
        <w:t>∆</w:t>
      </w:r>
      <w:r w:rsidR="00F74046" w:rsidRPr="00B85BC2">
        <w:rPr>
          <w:rFonts w:hint="cs"/>
          <w:rtl/>
        </w:rPr>
        <w:t>،</w:t>
      </w:r>
      <w:r w:rsidR="00F74046" w:rsidRPr="00B85BC2">
        <w:rPr>
          <w:rFonts w:eastAsia="Calibri"/>
          <w:b/>
          <w:i/>
          <w:rtl/>
        </w:rPr>
        <w:t>°G</w:t>
      </w:r>
      <w:r w:rsidR="00F74046" w:rsidRPr="00B85BC2">
        <w:rPr>
          <w:rFonts w:ascii="Viner Hand ITC" w:eastAsia="Calibri" w:hAnsi="Viner Hand ITC"/>
          <w:b/>
          <w:i/>
          <w:rtl/>
        </w:rPr>
        <w:t>∆</w:t>
      </w:r>
      <w:r w:rsidR="00F74046" w:rsidRPr="00B85BC2">
        <w:rPr>
          <w:rFonts w:eastAsia="Calibri"/>
          <w:b/>
          <w:i/>
          <w:rtl/>
        </w:rPr>
        <w:t>)</w:t>
      </w:r>
      <w:r w:rsidR="00F74046" w:rsidRPr="00B85BC2">
        <w:rPr>
          <w:rFonts w:eastAsia="Calibri" w:hint="cs"/>
          <w:b/>
          <w:i/>
          <w:rtl/>
        </w:rPr>
        <w:t xml:space="preserve"> </w:t>
      </w:r>
      <w:r w:rsidRPr="00B85BC2">
        <w:rPr>
          <w:rFonts w:eastAsia="Calibri" w:cs="Times New Roman" w:hint="cs"/>
          <w:b/>
          <w:i/>
          <w:rtl/>
        </w:rPr>
        <w:t xml:space="preserve"> </w:t>
      </w:r>
      <w:r w:rsidR="00797BAE" w:rsidRPr="00B85BC2">
        <w:rPr>
          <w:rFonts w:eastAsia="Calibri"/>
          <w:b/>
          <w:i/>
          <w:rtl/>
        </w:rPr>
        <w:t xml:space="preserve"> أن</w:t>
      </w:r>
      <w:r w:rsidR="00006D38" w:rsidRPr="00B85BC2">
        <w:rPr>
          <w:rFonts w:eastAsia="Calibri" w:hint="cs"/>
          <w:b/>
          <w:i/>
          <w:rtl/>
        </w:rPr>
        <w:t xml:space="preserve"> عملية</w:t>
      </w:r>
      <w:r w:rsidR="00797BAE" w:rsidRPr="00B85BC2">
        <w:rPr>
          <w:rFonts w:eastAsia="Calibri"/>
          <w:b/>
          <w:i/>
          <w:rtl/>
        </w:rPr>
        <w:t xml:space="preserve"> </w:t>
      </w:r>
      <w:r w:rsidR="00D06D8D" w:rsidRPr="00B85BC2">
        <w:rPr>
          <w:rFonts w:eastAsia="Calibri" w:hint="cs"/>
          <w:b/>
          <w:i/>
          <w:rtl/>
        </w:rPr>
        <w:t>إ</w:t>
      </w:r>
      <w:r w:rsidR="00D06D8D" w:rsidRPr="00B85BC2">
        <w:rPr>
          <w:rFonts w:eastAsia="Calibri"/>
          <w:b/>
          <w:i/>
          <w:rtl/>
        </w:rPr>
        <w:t>متزاز</w:t>
      </w:r>
      <w:r w:rsidR="00D06D8D" w:rsidRPr="00B85BC2">
        <w:rPr>
          <w:rFonts w:hint="cs"/>
          <w:rtl/>
        </w:rPr>
        <w:t xml:space="preserve"> </w:t>
      </w:r>
      <w:r w:rsidR="00F74046">
        <w:rPr>
          <w:rtl/>
        </w:rPr>
        <w:t>(II)</w:t>
      </w:r>
      <w:r w:rsidR="00D06D8D" w:rsidRPr="00B85BC2">
        <w:rPr>
          <w:rtl/>
        </w:rPr>
        <w:t>Cu</w:t>
      </w:r>
      <w:r w:rsidR="00D06D8D" w:rsidRPr="00B85BC2">
        <w:rPr>
          <w:rFonts w:hint="cs"/>
          <w:rtl/>
        </w:rPr>
        <w:t xml:space="preserve"> </w:t>
      </w:r>
      <w:r w:rsidR="00D06D8D" w:rsidRPr="00B85BC2">
        <w:rPr>
          <w:rFonts w:eastAsia="Calibri" w:hint="cs"/>
          <w:b/>
          <w:i/>
          <w:rtl/>
        </w:rPr>
        <w:t>و</w:t>
      </w:r>
      <w:r w:rsidR="00BD7AD7">
        <w:rPr>
          <w:rFonts w:eastAsia="Calibri"/>
          <w:b/>
          <w:i/>
          <w:rtl/>
        </w:rPr>
        <w:t xml:space="preserve"> ( IIV/II)Mn</w:t>
      </w:r>
      <w:r w:rsidR="00BD7AD7">
        <w:rPr>
          <w:rFonts w:eastAsia="Calibri" w:hint="cs"/>
          <w:b/>
          <w:i/>
          <w:rtl/>
        </w:rPr>
        <w:t xml:space="preserve"> </w:t>
      </w:r>
      <w:r w:rsidR="00006D38" w:rsidRPr="00B85BC2">
        <w:rPr>
          <w:rFonts w:hint="cs"/>
          <w:rtl/>
        </w:rPr>
        <w:t xml:space="preserve"> ذات طابع </w:t>
      </w:r>
      <w:r w:rsidR="00D06D8D" w:rsidRPr="00B85BC2">
        <w:rPr>
          <w:rFonts w:eastAsia="Calibri"/>
          <w:b/>
          <w:i/>
          <w:rtl/>
        </w:rPr>
        <w:t>فيزيائي</w:t>
      </w:r>
      <w:r w:rsidR="00006D38" w:rsidRPr="00B85BC2">
        <w:rPr>
          <w:rFonts w:eastAsia="Calibri" w:hint="cs"/>
          <w:b/>
          <w:i/>
          <w:rtl/>
        </w:rPr>
        <w:t xml:space="preserve">، </w:t>
      </w:r>
      <w:r w:rsidR="00006D38" w:rsidRPr="00B85BC2">
        <w:rPr>
          <w:rFonts w:eastAsia="Calibri"/>
          <w:b/>
          <w:i/>
          <w:rtl/>
        </w:rPr>
        <w:t>ماص</w:t>
      </w:r>
      <w:r w:rsidR="00006D38" w:rsidRPr="00B85BC2">
        <w:rPr>
          <w:rFonts w:eastAsia="Calibri" w:hint="cs"/>
          <w:b/>
          <w:i/>
          <w:rtl/>
        </w:rPr>
        <w:t xml:space="preserve">  </w:t>
      </w:r>
      <w:r w:rsidR="00D06D8D" w:rsidRPr="00B85BC2">
        <w:rPr>
          <w:rFonts w:eastAsia="Calibri"/>
          <w:b/>
          <w:i/>
          <w:rtl/>
        </w:rPr>
        <w:t xml:space="preserve"> </w:t>
      </w:r>
      <w:r w:rsidR="0058000E" w:rsidRPr="00B85BC2">
        <w:rPr>
          <w:rFonts w:eastAsia="Calibri"/>
          <w:b/>
          <w:i/>
          <w:rtl/>
        </w:rPr>
        <w:t>للحرارة</w:t>
      </w:r>
      <w:r w:rsidR="002A0AC7" w:rsidRPr="00B85BC2">
        <w:rPr>
          <w:rFonts w:eastAsia="Calibri" w:hint="cs"/>
          <w:b/>
          <w:i/>
          <w:rtl/>
        </w:rPr>
        <w:t xml:space="preserve"> و</w:t>
      </w:r>
      <w:r w:rsidR="005579B5" w:rsidRPr="00B85BC2">
        <w:rPr>
          <w:rFonts w:eastAsia="Calibri" w:hint="cs"/>
          <w:b/>
          <w:i/>
          <w:rtl/>
        </w:rPr>
        <w:t>تلقائي</w:t>
      </w:r>
      <w:r w:rsidR="0018044C" w:rsidRPr="00B85BC2">
        <w:rPr>
          <w:rFonts w:eastAsia="Calibri" w:hint="cs"/>
          <w:b/>
          <w:i/>
          <w:rtl/>
        </w:rPr>
        <w:t xml:space="preserve"> </w:t>
      </w:r>
      <w:r w:rsidR="0018044C" w:rsidRPr="00B85BC2">
        <w:rPr>
          <w:rFonts w:eastAsia="Calibri"/>
          <w:b/>
          <w:i/>
          <w:rtl/>
        </w:rPr>
        <w:t>(</w:t>
      </w:r>
      <w:r w:rsidR="00842CEF" w:rsidRPr="00B85BC2">
        <w:rPr>
          <w:rFonts w:eastAsia="Calibri" w:hint="cs"/>
          <w:b/>
          <w:i/>
          <w:rtl/>
        </w:rPr>
        <w:t>0</w:t>
      </w:r>
      <w:r w:rsidR="0018044C" w:rsidRPr="00B85BC2">
        <w:rPr>
          <w:rFonts w:ascii="Viner Hand ITC" w:eastAsia="Calibri" w:hAnsi="Viner Hand ITC"/>
          <w:b/>
          <w:i/>
          <w:rtl/>
        </w:rPr>
        <w:t>&gt;</w:t>
      </w:r>
      <w:r w:rsidR="0018044C" w:rsidRPr="00B85BC2">
        <w:rPr>
          <w:rFonts w:eastAsia="Calibri"/>
          <w:b/>
          <w:i/>
          <w:rtl/>
        </w:rPr>
        <w:t>°G</w:t>
      </w:r>
      <w:r w:rsidR="0018044C" w:rsidRPr="00B85BC2">
        <w:rPr>
          <w:rFonts w:ascii="Viner Hand ITC" w:eastAsia="Calibri" w:hAnsi="Viner Hand ITC"/>
          <w:b/>
          <w:i/>
          <w:rtl/>
        </w:rPr>
        <w:t>∆</w:t>
      </w:r>
      <w:r w:rsidR="0018044C" w:rsidRPr="00B85BC2">
        <w:rPr>
          <w:rFonts w:eastAsia="Calibri"/>
          <w:b/>
          <w:i/>
          <w:rtl/>
        </w:rPr>
        <w:t>)</w:t>
      </w:r>
      <w:r w:rsidR="00842CEF" w:rsidRPr="00B85BC2">
        <w:rPr>
          <w:rFonts w:eastAsia="Calibri" w:hint="cs"/>
          <w:b/>
          <w:i/>
          <w:rtl/>
        </w:rPr>
        <w:t xml:space="preserve"> بينما أكدت القيم الموجبة </w:t>
      </w:r>
      <w:r w:rsidR="00797BAE" w:rsidRPr="00B85BC2">
        <w:rPr>
          <w:rFonts w:eastAsia="Calibri"/>
          <w:b/>
          <w:i/>
          <w:rtl/>
        </w:rPr>
        <w:t>(°S</w:t>
      </w:r>
      <w:r w:rsidR="00797BAE" w:rsidRPr="00B85BC2">
        <w:rPr>
          <w:rFonts w:ascii="Viner Hand ITC" w:eastAsia="Calibri" w:hAnsi="Viner Hand ITC"/>
          <w:b/>
          <w:i/>
          <w:rtl/>
        </w:rPr>
        <w:t>∆</w:t>
      </w:r>
      <w:r w:rsidR="00797BAE" w:rsidRPr="00B85BC2">
        <w:rPr>
          <w:rFonts w:eastAsia="Calibri"/>
          <w:b/>
          <w:i/>
          <w:rtl/>
        </w:rPr>
        <w:t>)</w:t>
      </w:r>
      <w:r w:rsidR="002F1A8A" w:rsidRPr="00B85BC2">
        <w:rPr>
          <w:rFonts w:eastAsia="Calibri" w:hint="cs"/>
          <w:b/>
          <w:i/>
          <w:rtl/>
        </w:rPr>
        <w:t xml:space="preserve"> </w:t>
      </w:r>
      <w:r w:rsidR="00842CEF" w:rsidRPr="00B85BC2">
        <w:rPr>
          <w:rFonts w:eastAsia="Calibri" w:hint="cs"/>
          <w:b/>
          <w:i/>
          <w:rtl/>
        </w:rPr>
        <w:t>على زيادة ا</w:t>
      </w:r>
      <w:r w:rsidR="00EE0921" w:rsidRPr="00B85BC2">
        <w:rPr>
          <w:rFonts w:eastAsia="Calibri" w:hint="cs"/>
          <w:b/>
          <w:i/>
          <w:rtl/>
        </w:rPr>
        <w:t>لإض</w:t>
      </w:r>
      <w:r w:rsidR="00842CEF" w:rsidRPr="00B85BC2">
        <w:rPr>
          <w:rFonts w:eastAsia="Calibri" w:hint="cs"/>
          <w:b/>
          <w:i/>
          <w:rtl/>
        </w:rPr>
        <w:t>طراب على السطح البيني صلب/سائل.</w:t>
      </w:r>
      <w:r w:rsidR="0014571C" w:rsidRPr="00B85BC2">
        <w:rPr>
          <w:rFonts w:eastAsia="Calibri" w:hint="cs"/>
          <w:b/>
          <w:i/>
          <w:rtl/>
        </w:rPr>
        <w:t xml:space="preserve"> </w:t>
      </w:r>
      <w:r w:rsidR="00842CEF" w:rsidRPr="00B85BC2">
        <w:rPr>
          <w:rFonts w:eastAsia="Calibri" w:hint="cs"/>
          <w:b/>
          <w:i/>
          <w:rtl/>
        </w:rPr>
        <w:t>إن دراسة إمتزاز الكاتيو</w:t>
      </w:r>
      <w:r w:rsidR="00797BAE" w:rsidRPr="00B85BC2">
        <w:rPr>
          <w:rFonts w:eastAsia="Calibri" w:hint="cs"/>
          <w:b/>
          <w:i/>
          <w:rtl/>
        </w:rPr>
        <w:t>ن</w:t>
      </w:r>
      <w:r w:rsidR="00842CEF" w:rsidRPr="00B85BC2">
        <w:rPr>
          <w:rFonts w:eastAsia="Calibri" w:hint="cs"/>
          <w:b/>
          <w:i/>
          <w:rtl/>
        </w:rPr>
        <w:t xml:space="preserve">ات </w:t>
      </w:r>
      <w:r w:rsidR="00441718" w:rsidRPr="00B85BC2">
        <w:rPr>
          <w:rFonts w:eastAsia="Calibri" w:hint="cs"/>
          <w:b/>
          <w:i/>
          <w:rtl/>
        </w:rPr>
        <w:t>المعدنية على المار</w:t>
      </w:r>
      <w:r w:rsidR="00E15C15" w:rsidRPr="00B85BC2">
        <w:rPr>
          <w:rFonts w:eastAsia="Calibri" w:hint="cs"/>
          <w:b/>
          <w:i/>
          <w:rtl/>
        </w:rPr>
        <w:t>ن</w:t>
      </w:r>
      <w:r w:rsidR="00441718" w:rsidRPr="00B85BC2">
        <w:rPr>
          <w:rFonts w:eastAsia="Calibri" w:hint="cs"/>
          <w:b/>
          <w:i/>
          <w:rtl/>
        </w:rPr>
        <w:t xml:space="preserve"> بينت</w:t>
      </w:r>
      <w:r w:rsidR="0058000E" w:rsidRPr="00B85BC2">
        <w:rPr>
          <w:rFonts w:eastAsia="Calibri"/>
          <w:b/>
          <w:i/>
          <w:rtl/>
        </w:rPr>
        <w:t xml:space="preserve"> أن النحاس</w:t>
      </w:r>
      <w:r w:rsidR="00E15C15" w:rsidRPr="00B85BC2">
        <w:rPr>
          <w:rFonts w:eastAsia="Calibri" w:hint="cs"/>
          <w:b/>
          <w:i/>
          <w:rtl/>
        </w:rPr>
        <w:t xml:space="preserve"> </w:t>
      </w:r>
      <w:r w:rsidR="0058000E" w:rsidRPr="00B85BC2">
        <w:rPr>
          <w:rFonts w:eastAsia="Calibri"/>
          <w:b/>
          <w:i/>
          <w:rtl/>
        </w:rPr>
        <w:t>(II) و المنغنيز(</w:t>
      </w:r>
      <w:r w:rsidR="00F3156E" w:rsidRPr="00B85BC2">
        <w:rPr>
          <w:rFonts w:eastAsia="Calibri"/>
          <w:b/>
          <w:i/>
          <w:rtl/>
        </w:rPr>
        <w:t>VII</w:t>
      </w:r>
      <w:r w:rsidR="00F3156E" w:rsidRPr="00B85BC2">
        <w:rPr>
          <w:rFonts w:eastAsia="Calibri" w:hint="cs"/>
          <w:b/>
          <w:i/>
          <w:rtl/>
        </w:rPr>
        <w:t>/</w:t>
      </w:r>
      <w:r w:rsidR="0058000E" w:rsidRPr="00B85BC2">
        <w:rPr>
          <w:rFonts w:eastAsia="Calibri"/>
          <w:b/>
          <w:i/>
          <w:rtl/>
        </w:rPr>
        <w:t>II) أكثر ملاءمة</w:t>
      </w:r>
      <w:r w:rsidR="00842CEF" w:rsidRPr="00B85BC2">
        <w:rPr>
          <w:rFonts w:eastAsia="Calibri" w:hint="cs"/>
          <w:b/>
          <w:i/>
          <w:rtl/>
        </w:rPr>
        <w:t xml:space="preserve"> </w:t>
      </w:r>
      <w:r w:rsidR="0058000E" w:rsidRPr="00B85BC2">
        <w:rPr>
          <w:rFonts w:eastAsia="Calibri"/>
          <w:b/>
          <w:i/>
          <w:rtl/>
        </w:rPr>
        <w:t xml:space="preserve"> من الكروم(VI)</w:t>
      </w:r>
      <w:r w:rsidR="0014571C" w:rsidRPr="00B85BC2">
        <w:rPr>
          <w:rFonts w:eastAsia="Calibri" w:hint="cs"/>
          <w:b/>
          <w:i/>
          <w:rtl/>
        </w:rPr>
        <w:t>.</w:t>
      </w:r>
    </w:p>
    <w:p w:rsidR="0058000E" w:rsidRPr="00B85BC2" w:rsidRDefault="0058000E" w:rsidP="00E03E7B">
      <w:pPr>
        <w:jc w:val="right"/>
        <w:rPr>
          <w:rFonts w:eastAsia="Calibri"/>
          <w:b/>
          <w:i/>
        </w:rPr>
      </w:pPr>
      <w:r w:rsidRPr="00B85BC2">
        <w:rPr>
          <w:b/>
          <w:bCs/>
          <w:rtl/>
        </w:rPr>
        <w:t xml:space="preserve">الكلمات المفتاحية </w:t>
      </w:r>
      <w:r w:rsidRPr="00B85BC2">
        <w:rPr>
          <w:rtl/>
        </w:rPr>
        <w:t>: الإمتزاز</w:t>
      </w:r>
      <w:r w:rsidR="0014571C" w:rsidRPr="00B85BC2">
        <w:rPr>
          <w:rFonts w:hint="cs"/>
          <w:rtl/>
        </w:rPr>
        <w:t>،</w:t>
      </w:r>
      <w:r w:rsidRPr="00B85BC2">
        <w:rPr>
          <w:rtl/>
        </w:rPr>
        <w:t xml:space="preserve"> </w:t>
      </w:r>
      <w:r w:rsidR="0014571C" w:rsidRPr="00B85BC2">
        <w:rPr>
          <w:rFonts w:hint="cs"/>
          <w:rtl/>
          <w:lang w:bidi="ar-DZ"/>
        </w:rPr>
        <w:t>الخصائص الفيزيائية والكيميائية</w:t>
      </w:r>
      <w:r w:rsidR="0014571C" w:rsidRPr="00B85BC2">
        <w:rPr>
          <w:rFonts w:hint="cs"/>
          <w:rtl/>
        </w:rPr>
        <w:t>،</w:t>
      </w:r>
      <w:r w:rsidRPr="00B85BC2">
        <w:rPr>
          <w:rtl/>
        </w:rPr>
        <w:t xml:space="preserve"> البيئة</w:t>
      </w:r>
      <w:r w:rsidR="0014571C" w:rsidRPr="00B85BC2">
        <w:rPr>
          <w:rFonts w:hint="cs"/>
          <w:rtl/>
        </w:rPr>
        <w:t>،</w:t>
      </w:r>
      <w:r w:rsidRPr="00B85BC2">
        <w:rPr>
          <w:rtl/>
        </w:rPr>
        <w:t xml:space="preserve"> التلوث</w:t>
      </w:r>
      <w:r w:rsidR="0014571C" w:rsidRPr="00B85BC2">
        <w:rPr>
          <w:rFonts w:hint="cs"/>
          <w:rtl/>
        </w:rPr>
        <w:t>،</w:t>
      </w:r>
      <w:r w:rsidRPr="00B85BC2">
        <w:rPr>
          <w:rFonts w:eastAsia="Calibri"/>
          <w:b/>
          <w:i/>
          <w:rtl/>
        </w:rPr>
        <w:t xml:space="preserve"> النحاس(II)</w:t>
      </w:r>
      <w:r w:rsidR="0014571C" w:rsidRPr="00B85BC2">
        <w:rPr>
          <w:rFonts w:eastAsia="Calibri" w:hint="cs"/>
          <w:b/>
          <w:i/>
          <w:rtl/>
        </w:rPr>
        <w:t>،</w:t>
      </w:r>
      <w:r w:rsidRPr="00B85BC2">
        <w:rPr>
          <w:rFonts w:eastAsia="Calibri"/>
          <w:b/>
          <w:i/>
          <w:rtl/>
        </w:rPr>
        <w:t xml:space="preserve"> الكروم(IV) </w:t>
      </w:r>
      <w:r w:rsidR="0014571C" w:rsidRPr="00B85BC2">
        <w:rPr>
          <w:rFonts w:eastAsia="Calibri" w:hint="cs"/>
          <w:b/>
          <w:i/>
          <w:rtl/>
        </w:rPr>
        <w:t>،</w:t>
      </w:r>
      <w:r w:rsidRPr="00B85BC2">
        <w:rPr>
          <w:rFonts w:eastAsia="Calibri"/>
          <w:b/>
          <w:i/>
          <w:rtl/>
        </w:rPr>
        <w:t>المنغنيز</w:t>
      </w:r>
      <w:r w:rsidR="0014571C" w:rsidRPr="00B85BC2">
        <w:rPr>
          <w:rFonts w:eastAsia="Calibri" w:hint="cs"/>
          <w:b/>
          <w:i/>
          <w:rtl/>
        </w:rPr>
        <w:t xml:space="preserve"> </w:t>
      </w:r>
      <w:r w:rsidR="0046187B" w:rsidRPr="00B85BC2">
        <w:rPr>
          <w:rFonts w:eastAsia="Calibri" w:hint="cs"/>
          <w:b/>
          <w:i/>
          <w:rtl/>
        </w:rPr>
        <w:t>(</w:t>
      </w:r>
      <w:r w:rsidR="0046187B" w:rsidRPr="00B85BC2">
        <w:rPr>
          <w:rFonts w:eastAsia="Calibri"/>
          <w:b/>
          <w:i/>
          <w:rtl/>
        </w:rPr>
        <w:t>VII</w:t>
      </w:r>
      <w:r w:rsidR="0046187B" w:rsidRPr="00B85BC2">
        <w:rPr>
          <w:rFonts w:eastAsia="Calibri" w:hint="cs"/>
          <w:b/>
          <w:i/>
          <w:rtl/>
        </w:rPr>
        <w:t>/</w:t>
      </w:r>
      <w:r w:rsidRPr="00B85BC2">
        <w:rPr>
          <w:rFonts w:eastAsia="Calibri"/>
          <w:b/>
          <w:i/>
          <w:rtl/>
        </w:rPr>
        <w:t>II)</w:t>
      </w:r>
      <w:r w:rsidR="0014571C" w:rsidRPr="00B85BC2">
        <w:rPr>
          <w:rFonts w:hint="cs"/>
          <w:rtl/>
        </w:rPr>
        <w:t xml:space="preserve"> ،</w:t>
      </w:r>
      <w:r w:rsidRPr="00B85BC2">
        <w:rPr>
          <w:rFonts w:eastAsia="Calibri"/>
          <w:b/>
          <w:i/>
          <w:rtl/>
        </w:rPr>
        <w:t xml:space="preserve"> حركية</w:t>
      </w:r>
      <w:r w:rsidR="0014571C" w:rsidRPr="00B85BC2">
        <w:rPr>
          <w:rFonts w:eastAsia="Calibri" w:hint="cs"/>
          <w:b/>
          <w:i/>
          <w:rtl/>
        </w:rPr>
        <w:t xml:space="preserve"> </w:t>
      </w:r>
      <w:r w:rsidR="00E6091A" w:rsidRPr="00B85BC2">
        <w:rPr>
          <w:rFonts w:hint="cs"/>
          <w:rtl/>
        </w:rPr>
        <w:t>،</w:t>
      </w:r>
      <w:r w:rsidR="00E03E7B" w:rsidRPr="00B85BC2">
        <w:rPr>
          <w:rFonts w:eastAsia="Calibri" w:hint="cs"/>
          <w:b/>
          <w:i/>
          <w:rtl/>
        </w:rPr>
        <w:t>إ</w:t>
      </w:r>
      <w:r w:rsidRPr="00B85BC2">
        <w:rPr>
          <w:rFonts w:eastAsia="Calibri"/>
          <w:b/>
          <w:i/>
          <w:rtl/>
        </w:rPr>
        <w:t>يزوتارم</w:t>
      </w:r>
      <w:r w:rsidR="001D0983" w:rsidRPr="00B85BC2">
        <w:rPr>
          <w:rFonts w:eastAsia="Calibri" w:hint="cs"/>
          <w:b/>
          <w:i/>
          <w:rtl/>
        </w:rPr>
        <w:t xml:space="preserve"> </w:t>
      </w:r>
      <w:r w:rsidR="001D0983" w:rsidRPr="00B85BC2">
        <w:rPr>
          <w:rtl/>
        </w:rPr>
        <w:t>الإمتزاز</w:t>
      </w:r>
      <w:r w:rsidR="001D0983" w:rsidRPr="00B85BC2">
        <w:rPr>
          <w:rFonts w:hint="cs"/>
          <w:rtl/>
        </w:rPr>
        <w:t xml:space="preserve"> </w:t>
      </w:r>
      <w:r w:rsidR="0014571C" w:rsidRPr="00B85BC2">
        <w:rPr>
          <w:rFonts w:hint="cs"/>
          <w:rtl/>
        </w:rPr>
        <w:t>،</w:t>
      </w:r>
      <w:r w:rsidRPr="00B85BC2">
        <w:rPr>
          <w:rFonts w:eastAsia="Calibri"/>
          <w:b/>
          <w:i/>
          <w:rtl/>
        </w:rPr>
        <w:t xml:space="preserve"> ممتزات طبيعية</w:t>
      </w:r>
      <w:r w:rsidR="0014571C" w:rsidRPr="00B85BC2">
        <w:rPr>
          <w:rFonts w:hint="cs"/>
          <w:rtl/>
        </w:rPr>
        <w:t>،</w:t>
      </w:r>
      <w:r w:rsidRPr="00B85BC2">
        <w:rPr>
          <w:rFonts w:eastAsia="Calibri"/>
          <w:b/>
          <w:i/>
          <w:rtl/>
        </w:rPr>
        <w:t xml:space="preserve"> طين</w:t>
      </w:r>
      <w:r w:rsidR="0014571C" w:rsidRPr="00B85BC2">
        <w:rPr>
          <w:rFonts w:eastAsia="Calibri" w:hint="cs"/>
          <w:b/>
          <w:i/>
          <w:rtl/>
        </w:rPr>
        <w:t>.</w:t>
      </w:r>
    </w:p>
    <w:p w:rsidR="0058000E" w:rsidRPr="00B85BC2" w:rsidRDefault="0058000E" w:rsidP="0058000E">
      <w:pPr>
        <w:spacing w:before="0"/>
        <w:jc w:val="right"/>
        <w:rPr>
          <w:rFonts w:eastAsia="Calibri"/>
          <w:b/>
          <w:i/>
        </w:rPr>
      </w:pPr>
    </w:p>
    <w:p w:rsidR="0058000E" w:rsidRPr="00B85BC2" w:rsidRDefault="0058000E" w:rsidP="0058000E">
      <w:pPr>
        <w:spacing w:before="0"/>
        <w:jc w:val="right"/>
        <w:rPr>
          <w:rFonts w:eastAsia="Calibri"/>
          <w:b/>
          <w:i/>
        </w:rPr>
      </w:pPr>
    </w:p>
    <w:p w:rsidR="0058000E" w:rsidRPr="00B85BC2" w:rsidRDefault="0058000E" w:rsidP="0058000E">
      <w:pPr>
        <w:spacing w:before="0"/>
        <w:jc w:val="right"/>
        <w:rPr>
          <w:rFonts w:eastAsia="Calibri"/>
          <w:b/>
          <w:i/>
        </w:rPr>
      </w:pPr>
    </w:p>
    <w:p w:rsidR="0058000E" w:rsidRPr="00B85BC2" w:rsidRDefault="0058000E" w:rsidP="0058000E">
      <w:pPr>
        <w:spacing w:before="0"/>
        <w:jc w:val="right"/>
        <w:rPr>
          <w:rFonts w:eastAsia="Calibri"/>
          <w:b/>
          <w:i/>
        </w:rPr>
      </w:pPr>
    </w:p>
    <w:p w:rsidR="0058000E" w:rsidRPr="00B85BC2" w:rsidRDefault="0058000E" w:rsidP="0058000E">
      <w:pPr>
        <w:spacing w:before="0"/>
        <w:jc w:val="right"/>
        <w:rPr>
          <w:rFonts w:eastAsia="Calibri"/>
          <w:b/>
          <w:i/>
        </w:rPr>
      </w:pPr>
    </w:p>
    <w:p w:rsidR="0058000E" w:rsidRPr="00B85BC2" w:rsidRDefault="0058000E" w:rsidP="0058000E">
      <w:pPr>
        <w:spacing w:before="0"/>
        <w:jc w:val="right"/>
        <w:rPr>
          <w:rFonts w:eastAsia="Calibri"/>
          <w:b/>
          <w:i/>
        </w:rPr>
      </w:pPr>
    </w:p>
    <w:sectPr w:rsidR="0058000E" w:rsidRPr="00B85BC2" w:rsidSect="0058000E">
      <w:footerReference w:type="default" r:id="rId9"/>
      <w:footerReference w:type="first" r:id="rId10"/>
      <w:pgSz w:w="11901" w:h="16840" w:code="9"/>
      <w:pgMar w:top="1440" w:right="1440" w:bottom="1440" w:left="1440" w:header="850" w:footer="794" w:gutter="0"/>
      <w:pgNumType w:start="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62F4" w:rsidRDefault="007062F4" w:rsidP="00A04F52">
      <w:r>
        <w:separator/>
      </w:r>
    </w:p>
  </w:endnote>
  <w:endnote w:type="continuationSeparator" w:id="1">
    <w:p w:rsidR="007062F4" w:rsidRDefault="007062F4" w:rsidP="00A04F5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Viner Hand ITC">
    <w:panose1 w:val="03070502030502020203"/>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25663"/>
      <w:docPartObj>
        <w:docPartGallery w:val="Page Numbers (Bottom of Page)"/>
        <w:docPartUnique/>
      </w:docPartObj>
    </w:sdtPr>
    <w:sdtContent>
      <w:p w:rsidR="00D32BF8" w:rsidRDefault="00D404A8" w:rsidP="00D404A8">
        <w:pPr>
          <w:pStyle w:val="Pieddepage"/>
          <w:jc w:val="center"/>
        </w:pPr>
        <w:r>
          <w:t>6</w:t>
        </w:r>
      </w:p>
    </w:sdtContent>
  </w:sdt>
  <w:p w:rsidR="00D32BF8" w:rsidRDefault="00D32BF8" w:rsidP="00A04F5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25664"/>
      <w:docPartObj>
        <w:docPartGallery w:val="Page Numbers (Bottom of Page)"/>
        <w:docPartUnique/>
      </w:docPartObj>
    </w:sdtPr>
    <w:sdtContent>
      <w:p w:rsidR="00D32BF8" w:rsidRDefault="00221D4A" w:rsidP="00566E0D">
        <w:pPr>
          <w:pStyle w:val="Pieddepage"/>
          <w:jc w:val="center"/>
        </w:pPr>
        <w:fldSimple w:instr=" PAGE   \* MERGEFORMAT ">
          <w:r w:rsidR="00491690">
            <w:rPr>
              <w:noProof/>
            </w:rPr>
            <w:t>5</w:t>
          </w:r>
        </w:fldSimple>
      </w:p>
    </w:sdtContent>
  </w:sdt>
  <w:p w:rsidR="00D32BF8" w:rsidRDefault="00D32BF8" w:rsidP="00A04F5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62F4" w:rsidRDefault="007062F4" w:rsidP="00A04F52">
      <w:r>
        <w:separator/>
      </w:r>
    </w:p>
  </w:footnote>
  <w:footnote w:type="continuationSeparator" w:id="1">
    <w:p w:rsidR="007062F4" w:rsidRDefault="007062F4" w:rsidP="00A04F5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C2291"/>
    <w:multiLevelType w:val="hybridMultilevel"/>
    <w:tmpl w:val="80A4B2A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BA062A"/>
    <w:multiLevelType w:val="hybridMultilevel"/>
    <w:tmpl w:val="5A2CBF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A161CB"/>
    <w:multiLevelType w:val="hybridMultilevel"/>
    <w:tmpl w:val="01BA8CA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1F81794"/>
    <w:multiLevelType w:val="hybridMultilevel"/>
    <w:tmpl w:val="4DC4C0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E56819"/>
    <w:multiLevelType w:val="hybridMultilevel"/>
    <w:tmpl w:val="468E2870"/>
    <w:lvl w:ilvl="0" w:tplc="E476004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7FC669B"/>
    <w:multiLevelType w:val="hybridMultilevel"/>
    <w:tmpl w:val="499435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1766C98"/>
    <w:multiLevelType w:val="hybridMultilevel"/>
    <w:tmpl w:val="9230CE7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24A19E2"/>
    <w:multiLevelType w:val="hybridMultilevel"/>
    <w:tmpl w:val="A67A162A"/>
    <w:lvl w:ilvl="0" w:tplc="43186E2A">
      <w:start w:val="1"/>
      <w:numFmt w:val="upperRoman"/>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78257C9"/>
    <w:multiLevelType w:val="hybridMultilevel"/>
    <w:tmpl w:val="EF063D86"/>
    <w:lvl w:ilvl="0" w:tplc="9446CD6A">
      <w:start w:val="3"/>
      <w:numFmt w:val="bullet"/>
      <w:lvlText w:val="-"/>
      <w:lvlJc w:val="left"/>
      <w:pPr>
        <w:ind w:left="720" w:hanging="360"/>
      </w:pPr>
      <w:rPr>
        <w:rFonts w:ascii="Times New Roman" w:eastAsiaTheme="minorHAnsi" w:hAnsi="Times New Roman" w:cs="Times New Roman" w:hint="default"/>
        <w:i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9B5131C"/>
    <w:multiLevelType w:val="hybridMultilevel"/>
    <w:tmpl w:val="AF049A86"/>
    <w:lvl w:ilvl="0" w:tplc="E4760046">
      <w:numFmt w:val="bullet"/>
      <w:lvlText w:val="•"/>
      <w:lvlJc w:val="left"/>
      <w:pPr>
        <w:ind w:left="958" w:hanging="360"/>
      </w:pPr>
      <w:rPr>
        <w:rFonts w:ascii="Times New Roman" w:eastAsia="Times New Roman" w:hAnsi="Times New Roman" w:cs="Times New Roman" w:hint="default"/>
      </w:rPr>
    </w:lvl>
    <w:lvl w:ilvl="1" w:tplc="040C0003" w:tentative="1">
      <w:start w:val="1"/>
      <w:numFmt w:val="bullet"/>
      <w:lvlText w:val="o"/>
      <w:lvlJc w:val="left"/>
      <w:pPr>
        <w:ind w:left="1678" w:hanging="360"/>
      </w:pPr>
      <w:rPr>
        <w:rFonts w:ascii="Courier New" w:hAnsi="Courier New" w:cs="Courier New" w:hint="default"/>
      </w:rPr>
    </w:lvl>
    <w:lvl w:ilvl="2" w:tplc="040C0005" w:tentative="1">
      <w:start w:val="1"/>
      <w:numFmt w:val="bullet"/>
      <w:lvlText w:val=""/>
      <w:lvlJc w:val="left"/>
      <w:pPr>
        <w:ind w:left="2398" w:hanging="360"/>
      </w:pPr>
      <w:rPr>
        <w:rFonts w:ascii="Wingdings" w:hAnsi="Wingdings" w:hint="default"/>
      </w:rPr>
    </w:lvl>
    <w:lvl w:ilvl="3" w:tplc="040C0001" w:tentative="1">
      <w:start w:val="1"/>
      <w:numFmt w:val="bullet"/>
      <w:lvlText w:val=""/>
      <w:lvlJc w:val="left"/>
      <w:pPr>
        <w:ind w:left="3118" w:hanging="360"/>
      </w:pPr>
      <w:rPr>
        <w:rFonts w:ascii="Symbol" w:hAnsi="Symbol" w:hint="default"/>
      </w:rPr>
    </w:lvl>
    <w:lvl w:ilvl="4" w:tplc="040C0003" w:tentative="1">
      <w:start w:val="1"/>
      <w:numFmt w:val="bullet"/>
      <w:lvlText w:val="o"/>
      <w:lvlJc w:val="left"/>
      <w:pPr>
        <w:ind w:left="3838" w:hanging="360"/>
      </w:pPr>
      <w:rPr>
        <w:rFonts w:ascii="Courier New" w:hAnsi="Courier New" w:cs="Courier New" w:hint="default"/>
      </w:rPr>
    </w:lvl>
    <w:lvl w:ilvl="5" w:tplc="040C0005" w:tentative="1">
      <w:start w:val="1"/>
      <w:numFmt w:val="bullet"/>
      <w:lvlText w:val=""/>
      <w:lvlJc w:val="left"/>
      <w:pPr>
        <w:ind w:left="4558" w:hanging="360"/>
      </w:pPr>
      <w:rPr>
        <w:rFonts w:ascii="Wingdings" w:hAnsi="Wingdings" w:hint="default"/>
      </w:rPr>
    </w:lvl>
    <w:lvl w:ilvl="6" w:tplc="040C0001" w:tentative="1">
      <w:start w:val="1"/>
      <w:numFmt w:val="bullet"/>
      <w:lvlText w:val=""/>
      <w:lvlJc w:val="left"/>
      <w:pPr>
        <w:ind w:left="5278" w:hanging="360"/>
      </w:pPr>
      <w:rPr>
        <w:rFonts w:ascii="Symbol" w:hAnsi="Symbol" w:hint="default"/>
      </w:rPr>
    </w:lvl>
    <w:lvl w:ilvl="7" w:tplc="040C0003" w:tentative="1">
      <w:start w:val="1"/>
      <w:numFmt w:val="bullet"/>
      <w:lvlText w:val="o"/>
      <w:lvlJc w:val="left"/>
      <w:pPr>
        <w:ind w:left="5998" w:hanging="360"/>
      </w:pPr>
      <w:rPr>
        <w:rFonts w:ascii="Courier New" w:hAnsi="Courier New" w:cs="Courier New" w:hint="default"/>
      </w:rPr>
    </w:lvl>
    <w:lvl w:ilvl="8" w:tplc="040C0005" w:tentative="1">
      <w:start w:val="1"/>
      <w:numFmt w:val="bullet"/>
      <w:lvlText w:val=""/>
      <w:lvlJc w:val="left"/>
      <w:pPr>
        <w:ind w:left="6718" w:hanging="360"/>
      </w:pPr>
      <w:rPr>
        <w:rFonts w:ascii="Wingdings" w:hAnsi="Wingdings" w:hint="default"/>
      </w:rPr>
    </w:lvl>
  </w:abstractNum>
  <w:abstractNum w:abstractNumId="10">
    <w:nsid w:val="416C0C36"/>
    <w:multiLevelType w:val="hybridMultilevel"/>
    <w:tmpl w:val="5964D83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49D773F5"/>
    <w:multiLevelType w:val="hybridMultilevel"/>
    <w:tmpl w:val="8A0A48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73F56FC"/>
    <w:multiLevelType w:val="hybridMultilevel"/>
    <w:tmpl w:val="95F2D728"/>
    <w:lvl w:ilvl="0" w:tplc="E476004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B36740F"/>
    <w:multiLevelType w:val="hybridMultilevel"/>
    <w:tmpl w:val="4560F8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A463DA8"/>
    <w:multiLevelType w:val="hybridMultilevel"/>
    <w:tmpl w:val="2CE6C8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C05556B"/>
    <w:multiLevelType w:val="hybridMultilevel"/>
    <w:tmpl w:val="FB9C1A7C"/>
    <w:lvl w:ilvl="0" w:tplc="191232C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742718C"/>
    <w:multiLevelType w:val="hybridMultilevel"/>
    <w:tmpl w:val="D116DB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8633670"/>
    <w:multiLevelType w:val="hybridMultilevel"/>
    <w:tmpl w:val="928A1BDA"/>
    <w:lvl w:ilvl="0" w:tplc="7316738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10"/>
  </w:num>
  <w:num w:numId="4">
    <w:abstractNumId w:val="11"/>
  </w:num>
  <w:num w:numId="5">
    <w:abstractNumId w:val="17"/>
  </w:num>
  <w:num w:numId="6">
    <w:abstractNumId w:val="0"/>
  </w:num>
  <w:num w:numId="7">
    <w:abstractNumId w:val="2"/>
  </w:num>
  <w:num w:numId="8">
    <w:abstractNumId w:val="6"/>
  </w:num>
  <w:num w:numId="9">
    <w:abstractNumId w:val="7"/>
  </w:num>
  <w:num w:numId="10">
    <w:abstractNumId w:val="4"/>
  </w:num>
  <w:num w:numId="11">
    <w:abstractNumId w:val="9"/>
  </w:num>
  <w:num w:numId="12">
    <w:abstractNumId w:val="12"/>
  </w:num>
  <w:num w:numId="13">
    <w:abstractNumId w:val="13"/>
  </w:num>
  <w:num w:numId="14">
    <w:abstractNumId w:val="5"/>
  </w:num>
  <w:num w:numId="15">
    <w:abstractNumId w:val="14"/>
  </w:num>
  <w:num w:numId="16">
    <w:abstractNumId w:val="8"/>
  </w:num>
  <w:num w:numId="17">
    <w:abstractNumId w:val="15"/>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activeWritingStyle w:appName="MSWord" w:lang="fr-FR" w:vendorID="64" w:dllVersion="131078" w:nlCheck="1" w:checkStyle="1"/>
  <w:activeWritingStyle w:appName="MSWord" w:lang="en-GB" w:vendorID="64" w:dllVersion="131078" w:nlCheck="1" w:checkStyle="1"/>
  <w:activeWritingStyle w:appName="MSWord" w:lang="en-US" w:vendorID="64" w:dllVersion="131078" w:nlCheck="1" w:checkStyle="1"/>
  <w:documentProtection w:edit="readOnly" w:enforcement="0"/>
  <w:defaultTabStop w:val="708"/>
  <w:hyphenationZone w:val="425"/>
  <w:drawingGridHorizontalSpacing w:val="120"/>
  <w:displayHorizontalDrawingGridEvery w:val="2"/>
  <w:displayVerticalDrawingGridEvery w:val="2"/>
  <w:characterSpacingControl w:val="doNotCompress"/>
  <w:hdrShapeDefaults>
    <o:shapedefaults v:ext="edit" spidmax="120834">
      <o:colormenu v:ext="edit" strokecolor="none [3213]"/>
    </o:shapedefaults>
  </w:hdrShapeDefaults>
  <w:footnotePr>
    <w:footnote w:id="0"/>
    <w:footnote w:id="1"/>
  </w:footnotePr>
  <w:endnotePr>
    <w:endnote w:id="0"/>
    <w:endnote w:id="1"/>
  </w:endnotePr>
  <w:compat/>
  <w:rsids>
    <w:rsidRoot w:val="00B32CD4"/>
    <w:rsid w:val="0000230C"/>
    <w:rsid w:val="00006227"/>
    <w:rsid w:val="00006AF4"/>
    <w:rsid w:val="00006C17"/>
    <w:rsid w:val="00006D38"/>
    <w:rsid w:val="00010288"/>
    <w:rsid w:val="00013984"/>
    <w:rsid w:val="00015A57"/>
    <w:rsid w:val="00015CD6"/>
    <w:rsid w:val="00020AEB"/>
    <w:rsid w:val="00022FA3"/>
    <w:rsid w:val="00023154"/>
    <w:rsid w:val="00025209"/>
    <w:rsid w:val="0002715A"/>
    <w:rsid w:val="000301C5"/>
    <w:rsid w:val="000366FB"/>
    <w:rsid w:val="00036EEA"/>
    <w:rsid w:val="00037CD7"/>
    <w:rsid w:val="00051CA5"/>
    <w:rsid w:val="000525F4"/>
    <w:rsid w:val="00053F7B"/>
    <w:rsid w:val="000564DA"/>
    <w:rsid w:val="00056A6A"/>
    <w:rsid w:val="0006237F"/>
    <w:rsid w:val="000722E6"/>
    <w:rsid w:val="00072522"/>
    <w:rsid w:val="00074456"/>
    <w:rsid w:val="000766CA"/>
    <w:rsid w:val="00081F47"/>
    <w:rsid w:val="000820B0"/>
    <w:rsid w:val="00082DE0"/>
    <w:rsid w:val="00085063"/>
    <w:rsid w:val="000852ED"/>
    <w:rsid w:val="000876E7"/>
    <w:rsid w:val="000951F6"/>
    <w:rsid w:val="000A59C8"/>
    <w:rsid w:val="000B4074"/>
    <w:rsid w:val="000B4534"/>
    <w:rsid w:val="000B646A"/>
    <w:rsid w:val="000B7C96"/>
    <w:rsid w:val="000C606E"/>
    <w:rsid w:val="000C7D74"/>
    <w:rsid w:val="000D4330"/>
    <w:rsid w:val="000D4B5B"/>
    <w:rsid w:val="000D6861"/>
    <w:rsid w:val="000E68E3"/>
    <w:rsid w:val="000F1D5A"/>
    <w:rsid w:val="000F3F50"/>
    <w:rsid w:val="000F52B1"/>
    <w:rsid w:val="000F7C29"/>
    <w:rsid w:val="00102D24"/>
    <w:rsid w:val="00107AD4"/>
    <w:rsid w:val="001107E2"/>
    <w:rsid w:val="00112CC3"/>
    <w:rsid w:val="00116630"/>
    <w:rsid w:val="00120852"/>
    <w:rsid w:val="00120AF4"/>
    <w:rsid w:val="00126901"/>
    <w:rsid w:val="00130116"/>
    <w:rsid w:val="0013055F"/>
    <w:rsid w:val="0013123C"/>
    <w:rsid w:val="001322DE"/>
    <w:rsid w:val="0013566F"/>
    <w:rsid w:val="00135C19"/>
    <w:rsid w:val="0014213F"/>
    <w:rsid w:val="00142500"/>
    <w:rsid w:val="00143F5B"/>
    <w:rsid w:val="00144746"/>
    <w:rsid w:val="0014571C"/>
    <w:rsid w:val="00147E09"/>
    <w:rsid w:val="00151F9D"/>
    <w:rsid w:val="0015309A"/>
    <w:rsid w:val="00157AF5"/>
    <w:rsid w:val="00165EA6"/>
    <w:rsid w:val="001663EC"/>
    <w:rsid w:val="00166CA9"/>
    <w:rsid w:val="00170E29"/>
    <w:rsid w:val="00173A6B"/>
    <w:rsid w:val="00173C20"/>
    <w:rsid w:val="00174570"/>
    <w:rsid w:val="001765C5"/>
    <w:rsid w:val="00180371"/>
    <w:rsid w:val="0018044C"/>
    <w:rsid w:val="00184AA3"/>
    <w:rsid w:val="00192616"/>
    <w:rsid w:val="00195D9F"/>
    <w:rsid w:val="001A31B3"/>
    <w:rsid w:val="001A5194"/>
    <w:rsid w:val="001B004A"/>
    <w:rsid w:val="001B3A44"/>
    <w:rsid w:val="001B4D61"/>
    <w:rsid w:val="001B6C1E"/>
    <w:rsid w:val="001C1AF4"/>
    <w:rsid w:val="001C76F9"/>
    <w:rsid w:val="001D0983"/>
    <w:rsid w:val="001D0B2A"/>
    <w:rsid w:val="001D2689"/>
    <w:rsid w:val="001D26C8"/>
    <w:rsid w:val="001D27CA"/>
    <w:rsid w:val="001D60D9"/>
    <w:rsid w:val="001E17E9"/>
    <w:rsid w:val="001E4E3B"/>
    <w:rsid w:val="001E6580"/>
    <w:rsid w:val="001F35E0"/>
    <w:rsid w:val="001F4B31"/>
    <w:rsid w:val="00201770"/>
    <w:rsid w:val="002051F8"/>
    <w:rsid w:val="00221D4A"/>
    <w:rsid w:val="00224D09"/>
    <w:rsid w:val="00226AFB"/>
    <w:rsid w:val="00227D1D"/>
    <w:rsid w:val="00231145"/>
    <w:rsid w:val="0023548A"/>
    <w:rsid w:val="00240660"/>
    <w:rsid w:val="0024249E"/>
    <w:rsid w:val="0024343E"/>
    <w:rsid w:val="00244B92"/>
    <w:rsid w:val="002505FD"/>
    <w:rsid w:val="00252039"/>
    <w:rsid w:val="0025351F"/>
    <w:rsid w:val="0025543F"/>
    <w:rsid w:val="00256FE0"/>
    <w:rsid w:val="0025725E"/>
    <w:rsid w:val="00260719"/>
    <w:rsid w:val="002610E2"/>
    <w:rsid w:val="00264476"/>
    <w:rsid w:val="00264E99"/>
    <w:rsid w:val="00271FC0"/>
    <w:rsid w:val="00272D01"/>
    <w:rsid w:val="00274632"/>
    <w:rsid w:val="00280B65"/>
    <w:rsid w:val="002859EA"/>
    <w:rsid w:val="0028603C"/>
    <w:rsid w:val="002932AE"/>
    <w:rsid w:val="00294F8E"/>
    <w:rsid w:val="00296798"/>
    <w:rsid w:val="002A0028"/>
    <w:rsid w:val="002A0AC7"/>
    <w:rsid w:val="002A22FD"/>
    <w:rsid w:val="002A2D74"/>
    <w:rsid w:val="002A69C9"/>
    <w:rsid w:val="002A7E9C"/>
    <w:rsid w:val="002B2FA6"/>
    <w:rsid w:val="002B606D"/>
    <w:rsid w:val="002C05C0"/>
    <w:rsid w:val="002C25F7"/>
    <w:rsid w:val="002C50D7"/>
    <w:rsid w:val="002D038E"/>
    <w:rsid w:val="002D54C7"/>
    <w:rsid w:val="002E534C"/>
    <w:rsid w:val="002F1A8A"/>
    <w:rsid w:val="002F373D"/>
    <w:rsid w:val="002F486E"/>
    <w:rsid w:val="003034D8"/>
    <w:rsid w:val="00303B41"/>
    <w:rsid w:val="00303F6D"/>
    <w:rsid w:val="00305C34"/>
    <w:rsid w:val="00306240"/>
    <w:rsid w:val="00312F5E"/>
    <w:rsid w:val="0031345E"/>
    <w:rsid w:val="00313D1F"/>
    <w:rsid w:val="003143F5"/>
    <w:rsid w:val="00314E55"/>
    <w:rsid w:val="00315326"/>
    <w:rsid w:val="00322A68"/>
    <w:rsid w:val="00330A97"/>
    <w:rsid w:val="00337CF7"/>
    <w:rsid w:val="00344DCD"/>
    <w:rsid w:val="00347DE2"/>
    <w:rsid w:val="00350841"/>
    <w:rsid w:val="003601EB"/>
    <w:rsid w:val="003609EE"/>
    <w:rsid w:val="003614D9"/>
    <w:rsid w:val="00364B3C"/>
    <w:rsid w:val="003677C2"/>
    <w:rsid w:val="003701DF"/>
    <w:rsid w:val="00372832"/>
    <w:rsid w:val="00373A1D"/>
    <w:rsid w:val="0037508D"/>
    <w:rsid w:val="00390975"/>
    <w:rsid w:val="00392FB3"/>
    <w:rsid w:val="00394B29"/>
    <w:rsid w:val="00395EEB"/>
    <w:rsid w:val="00396E0A"/>
    <w:rsid w:val="003A0011"/>
    <w:rsid w:val="003A1311"/>
    <w:rsid w:val="003A430D"/>
    <w:rsid w:val="003C28B3"/>
    <w:rsid w:val="003C3A52"/>
    <w:rsid w:val="003D5760"/>
    <w:rsid w:val="003E0AE9"/>
    <w:rsid w:val="003E32EC"/>
    <w:rsid w:val="003F03AB"/>
    <w:rsid w:val="003F0E58"/>
    <w:rsid w:val="003F7AD5"/>
    <w:rsid w:val="0040356E"/>
    <w:rsid w:val="0040477E"/>
    <w:rsid w:val="00410498"/>
    <w:rsid w:val="00410D7D"/>
    <w:rsid w:val="00411E6E"/>
    <w:rsid w:val="004127E9"/>
    <w:rsid w:val="00414EAF"/>
    <w:rsid w:val="00415EAF"/>
    <w:rsid w:val="004237C3"/>
    <w:rsid w:val="00424E77"/>
    <w:rsid w:val="004263C4"/>
    <w:rsid w:val="0042655E"/>
    <w:rsid w:val="00426FF1"/>
    <w:rsid w:val="00427DFC"/>
    <w:rsid w:val="0043118A"/>
    <w:rsid w:val="004317A3"/>
    <w:rsid w:val="00441718"/>
    <w:rsid w:val="00444920"/>
    <w:rsid w:val="0045079F"/>
    <w:rsid w:val="00455059"/>
    <w:rsid w:val="00461816"/>
    <w:rsid w:val="0046187B"/>
    <w:rsid w:val="004672BA"/>
    <w:rsid w:val="004674E3"/>
    <w:rsid w:val="0047335A"/>
    <w:rsid w:val="0047495C"/>
    <w:rsid w:val="004806C1"/>
    <w:rsid w:val="00484105"/>
    <w:rsid w:val="00491690"/>
    <w:rsid w:val="004A0554"/>
    <w:rsid w:val="004A0CF7"/>
    <w:rsid w:val="004A0DA8"/>
    <w:rsid w:val="004A0EDA"/>
    <w:rsid w:val="004A1A39"/>
    <w:rsid w:val="004A792A"/>
    <w:rsid w:val="004B5DC8"/>
    <w:rsid w:val="004C0F14"/>
    <w:rsid w:val="004C235B"/>
    <w:rsid w:val="004C3835"/>
    <w:rsid w:val="004D4063"/>
    <w:rsid w:val="004D65E8"/>
    <w:rsid w:val="004E274C"/>
    <w:rsid w:val="004E5595"/>
    <w:rsid w:val="004E5E0E"/>
    <w:rsid w:val="004F0560"/>
    <w:rsid w:val="004F0718"/>
    <w:rsid w:val="00500735"/>
    <w:rsid w:val="005059A2"/>
    <w:rsid w:val="00507288"/>
    <w:rsid w:val="005103F6"/>
    <w:rsid w:val="00513E58"/>
    <w:rsid w:val="00513F04"/>
    <w:rsid w:val="00514611"/>
    <w:rsid w:val="00515D01"/>
    <w:rsid w:val="00517632"/>
    <w:rsid w:val="0052352C"/>
    <w:rsid w:val="005248BA"/>
    <w:rsid w:val="00530C88"/>
    <w:rsid w:val="005324A0"/>
    <w:rsid w:val="005329A2"/>
    <w:rsid w:val="00532DD2"/>
    <w:rsid w:val="00534566"/>
    <w:rsid w:val="00540EF2"/>
    <w:rsid w:val="005438B6"/>
    <w:rsid w:val="00545129"/>
    <w:rsid w:val="00545787"/>
    <w:rsid w:val="0054778E"/>
    <w:rsid w:val="00554058"/>
    <w:rsid w:val="005560F5"/>
    <w:rsid w:val="00557748"/>
    <w:rsid w:val="005579B5"/>
    <w:rsid w:val="005616BA"/>
    <w:rsid w:val="00561C36"/>
    <w:rsid w:val="00562661"/>
    <w:rsid w:val="0056274F"/>
    <w:rsid w:val="0056433D"/>
    <w:rsid w:val="00565C0E"/>
    <w:rsid w:val="00566E0D"/>
    <w:rsid w:val="00577BF2"/>
    <w:rsid w:val="0058000E"/>
    <w:rsid w:val="00582EFA"/>
    <w:rsid w:val="00584217"/>
    <w:rsid w:val="00584D89"/>
    <w:rsid w:val="00586085"/>
    <w:rsid w:val="00586F85"/>
    <w:rsid w:val="005877E9"/>
    <w:rsid w:val="00590DC7"/>
    <w:rsid w:val="00592CF8"/>
    <w:rsid w:val="0059527D"/>
    <w:rsid w:val="005A77AB"/>
    <w:rsid w:val="005B45B8"/>
    <w:rsid w:val="005B5601"/>
    <w:rsid w:val="005C3653"/>
    <w:rsid w:val="005C72F5"/>
    <w:rsid w:val="005D321B"/>
    <w:rsid w:val="005E4686"/>
    <w:rsid w:val="005E5303"/>
    <w:rsid w:val="005F14E8"/>
    <w:rsid w:val="005F23A1"/>
    <w:rsid w:val="005F4306"/>
    <w:rsid w:val="005F50F3"/>
    <w:rsid w:val="00604532"/>
    <w:rsid w:val="00606E5C"/>
    <w:rsid w:val="00611FD8"/>
    <w:rsid w:val="0061773C"/>
    <w:rsid w:val="0062315D"/>
    <w:rsid w:val="00625487"/>
    <w:rsid w:val="006254B9"/>
    <w:rsid w:val="00641975"/>
    <w:rsid w:val="00652791"/>
    <w:rsid w:val="00653364"/>
    <w:rsid w:val="006632DE"/>
    <w:rsid w:val="00670973"/>
    <w:rsid w:val="00677961"/>
    <w:rsid w:val="00680BFC"/>
    <w:rsid w:val="0069073D"/>
    <w:rsid w:val="00692313"/>
    <w:rsid w:val="00692602"/>
    <w:rsid w:val="00694E23"/>
    <w:rsid w:val="00695175"/>
    <w:rsid w:val="00695D16"/>
    <w:rsid w:val="00695F7D"/>
    <w:rsid w:val="0069605B"/>
    <w:rsid w:val="006A4A8F"/>
    <w:rsid w:val="006A4AB4"/>
    <w:rsid w:val="006A588B"/>
    <w:rsid w:val="006A5926"/>
    <w:rsid w:val="006B21AC"/>
    <w:rsid w:val="006B4FE7"/>
    <w:rsid w:val="006B5B03"/>
    <w:rsid w:val="006C0815"/>
    <w:rsid w:val="006C3666"/>
    <w:rsid w:val="006D1AE4"/>
    <w:rsid w:val="006D2335"/>
    <w:rsid w:val="006D3DB0"/>
    <w:rsid w:val="006D4DA8"/>
    <w:rsid w:val="006D784D"/>
    <w:rsid w:val="006E017D"/>
    <w:rsid w:val="006E2762"/>
    <w:rsid w:val="006E2C2C"/>
    <w:rsid w:val="006E49E0"/>
    <w:rsid w:val="006F556A"/>
    <w:rsid w:val="006F6FDA"/>
    <w:rsid w:val="006F7845"/>
    <w:rsid w:val="0070328A"/>
    <w:rsid w:val="00705274"/>
    <w:rsid w:val="007062F4"/>
    <w:rsid w:val="00707EA3"/>
    <w:rsid w:val="00711BE9"/>
    <w:rsid w:val="007140FB"/>
    <w:rsid w:val="00714EB2"/>
    <w:rsid w:val="00723EAB"/>
    <w:rsid w:val="00734D98"/>
    <w:rsid w:val="0073592F"/>
    <w:rsid w:val="00735A2A"/>
    <w:rsid w:val="00735D88"/>
    <w:rsid w:val="00744087"/>
    <w:rsid w:val="0074409A"/>
    <w:rsid w:val="00746ED6"/>
    <w:rsid w:val="007528AE"/>
    <w:rsid w:val="007546DF"/>
    <w:rsid w:val="00754D7E"/>
    <w:rsid w:val="00756C49"/>
    <w:rsid w:val="0075740A"/>
    <w:rsid w:val="0076032A"/>
    <w:rsid w:val="007666CD"/>
    <w:rsid w:val="00766AA7"/>
    <w:rsid w:val="0076786B"/>
    <w:rsid w:val="00767E5A"/>
    <w:rsid w:val="00772FD2"/>
    <w:rsid w:val="00777E8B"/>
    <w:rsid w:val="00790929"/>
    <w:rsid w:val="0079269E"/>
    <w:rsid w:val="00792742"/>
    <w:rsid w:val="00796E33"/>
    <w:rsid w:val="00797BAE"/>
    <w:rsid w:val="007A2A1A"/>
    <w:rsid w:val="007A791F"/>
    <w:rsid w:val="007B04DC"/>
    <w:rsid w:val="007B0840"/>
    <w:rsid w:val="007B22DF"/>
    <w:rsid w:val="007B42D6"/>
    <w:rsid w:val="007C321E"/>
    <w:rsid w:val="007D7548"/>
    <w:rsid w:val="007E22B6"/>
    <w:rsid w:val="007E30B0"/>
    <w:rsid w:val="007E4185"/>
    <w:rsid w:val="007E4EE2"/>
    <w:rsid w:val="007E7079"/>
    <w:rsid w:val="007F0956"/>
    <w:rsid w:val="007F1328"/>
    <w:rsid w:val="007F1E82"/>
    <w:rsid w:val="007F2662"/>
    <w:rsid w:val="00801F02"/>
    <w:rsid w:val="00802E41"/>
    <w:rsid w:val="00803937"/>
    <w:rsid w:val="00805D0F"/>
    <w:rsid w:val="00806733"/>
    <w:rsid w:val="008114EC"/>
    <w:rsid w:val="00812467"/>
    <w:rsid w:val="00823ED4"/>
    <w:rsid w:val="00825AFD"/>
    <w:rsid w:val="00827673"/>
    <w:rsid w:val="00827866"/>
    <w:rsid w:val="00833A5D"/>
    <w:rsid w:val="0083479A"/>
    <w:rsid w:val="00842CEF"/>
    <w:rsid w:val="00844484"/>
    <w:rsid w:val="00847B71"/>
    <w:rsid w:val="008520E0"/>
    <w:rsid w:val="00863A93"/>
    <w:rsid w:val="00863B48"/>
    <w:rsid w:val="00865476"/>
    <w:rsid w:val="0086557E"/>
    <w:rsid w:val="00867F61"/>
    <w:rsid w:val="0087348B"/>
    <w:rsid w:val="00873856"/>
    <w:rsid w:val="008751CC"/>
    <w:rsid w:val="008766D9"/>
    <w:rsid w:val="00880532"/>
    <w:rsid w:val="00881CED"/>
    <w:rsid w:val="008823A5"/>
    <w:rsid w:val="00882DBD"/>
    <w:rsid w:val="008842A7"/>
    <w:rsid w:val="008934E4"/>
    <w:rsid w:val="0089433E"/>
    <w:rsid w:val="00894518"/>
    <w:rsid w:val="0089474F"/>
    <w:rsid w:val="008A1B6E"/>
    <w:rsid w:val="008A2CAB"/>
    <w:rsid w:val="008A356F"/>
    <w:rsid w:val="008A6A90"/>
    <w:rsid w:val="008A70DD"/>
    <w:rsid w:val="008B004C"/>
    <w:rsid w:val="008B539F"/>
    <w:rsid w:val="008B57F5"/>
    <w:rsid w:val="008B61CA"/>
    <w:rsid w:val="008B7613"/>
    <w:rsid w:val="008C06A5"/>
    <w:rsid w:val="008C7AC3"/>
    <w:rsid w:val="008D0454"/>
    <w:rsid w:val="008D4717"/>
    <w:rsid w:val="008E31B2"/>
    <w:rsid w:val="008E47A9"/>
    <w:rsid w:val="008E7EC3"/>
    <w:rsid w:val="008F4508"/>
    <w:rsid w:val="008F54B7"/>
    <w:rsid w:val="008F7CD5"/>
    <w:rsid w:val="009010F9"/>
    <w:rsid w:val="009028FC"/>
    <w:rsid w:val="00903646"/>
    <w:rsid w:val="00907BCD"/>
    <w:rsid w:val="00912247"/>
    <w:rsid w:val="00915881"/>
    <w:rsid w:val="00916FA6"/>
    <w:rsid w:val="00922AD8"/>
    <w:rsid w:val="0092370F"/>
    <w:rsid w:val="00930E37"/>
    <w:rsid w:val="009315AC"/>
    <w:rsid w:val="00931793"/>
    <w:rsid w:val="00934DCC"/>
    <w:rsid w:val="00935254"/>
    <w:rsid w:val="00940DDF"/>
    <w:rsid w:val="00940E6A"/>
    <w:rsid w:val="00941CFF"/>
    <w:rsid w:val="009435C6"/>
    <w:rsid w:val="0094437C"/>
    <w:rsid w:val="009445C9"/>
    <w:rsid w:val="0094602C"/>
    <w:rsid w:val="00951420"/>
    <w:rsid w:val="00952390"/>
    <w:rsid w:val="009632CA"/>
    <w:rsid w:val="0096510B"/>
    <w:rsid w:val="009655AF"/>
    <w:rsid w:val="00965897"/>
    <w:rsid w:val="00970D44"/>
    <w:rsid w:val="0097216A"/>
    <w:rsid w:val="009779AD"/>
    <w:rsid w:val="009829D4"/>
    <w:rsid w:val="00985501"/>
    <w:rsid w:val="00991300"/>
    <w:rsid w:val="00992F8D"/>
    <w:rsid w:val="0099748A"/>
    <w:rsid w:val="009A0F31"/>
    <w:rsid w:val="009A1429"/>
    <w:rsid w:val="009A343A"/>
    <w:rsid w:val="009B0191"/>
    <w:rsid w:val="009B2254"/>
    <w:rsid w:val="009B408E"/>
    <w:rsid w:val="009C055D"/>
    <w:rsid w:val="009C09C5"/>
    <w:rsid w:val="009C1814"/>
    <w:rsid w:val="009C2D37"/>
    <w:rsid w:val="009C57AA"/>
    <w:rsid w:val="009D0533"/>
    <w:rsid w:val="009D1100"/>
    <w:rsid w:val="009D12C9"/>
    <w:rsid w:val="009D4168"/>
    <w:rsid w:val="009D48C4"/>
    <w:rsid w:val="009D72B6"/>
    <w:rsid w:val="009E4AEC"/>
    <w:rsid w:val="009E4B4E"/>
    <w:rsid w:val="009E5ED1"/>
    <w:rsid w:val="009F0128"/>
    <w:rsid w:val="009F1C78"/>
    <w:rsid w:val="009F6105"/>
    <w:rsid w:val="00A015FE"/>
    <w:rsid w:val="00A01BF2"/>
    <w:rsid w:val="00A04F52"/>
    <w:rsid w:val="00A10E4B"/>
    <w:rsid w:val="00A11444"/>
    <w:rsid w:val="00A1237C"/>
    <w:rsid w:val="00A174CB"/>
    <w:rsid w:val="00A202BE"/>
    <w:rsid w:val="00A2177A"/>
    <w:rsid w:val="00A231FA"/>
    <w:rsid w:val="00A27E88"/>
    <w:rsid w:val="00A3407F"/>
    <w:rsid w:val="00A401C1"/>
    <w:rsid w:val="00A41673"/>
    <w:rsid w:val="00A4416D"/>
    <w:rsid w:val="00A50C35"/>
    <w:rsid w:val="00A545A5"/>
    <w:rsid w:val="00A54FDA"/>
    <w:rsid w:val="00A56023"/>
    <w:rsid w:val="00A577A0"/>
    <w:rsid w:val="00A62A97"/>
    <w:rsid w:val="00A72FB3"/>
    <w:rsid w:val="00A7320B"/>
    <w:rsid w:val="00A74A9E"/>
    <w:rsid w:val="00A74E29"/>
    <w:rsid w:val="00A80371"/>
    <w:rsid w:val="00A80E62"/>
    <w:rsid w:val="00A96CFA"/>
    <w:rsid w:val="00AA2BD0"/>
    <w:rsid w:val="00AA4636"/>
    <w:rsid w:val="00AA62EF"/>
    <w:rsid w:val="00AA654E"/>
    <w:rsid w:val="00AA7E51"/>
    <w:rsid w:val="00AB0A4C"/>
    <w:rsid w:val="00AB2EC2"/>
    <w:rsid w:val="00AB56F0"/>
    <w:rsid w:val="00AB6623"/>
    <w:rsid w:val="00AB7130"/>
    <w:rsid w:val="00AC1E1F"/>
    <w:rsid w:val="00AC4006"/>
    <w:rsid w:val="00AC40ED"/>
    <w:rsid w:val="00AC5A7A"/>
    <w:rsid w:val="00AC5CCB"/>
    <w:rsid w:val="00AC781B"/>
    <w:rsid w:val="00AD0AF7"/>
    <w:rsid w:val="00AD1473"/>
    <w:rsid w:val="00AD16F1"/>
    <w:rsid w:val="00AD633C"/>
    <w:rsid w:val="00AE1A60"/>
    <w:rsid w:val="00AE1EB5"/>
    <w:rsid w:val="00AE4AC7"/>
    <w:rsid w:val="00AE659A"/>
    <w:rsid w:val="00AF11B0"/>
    <w:rsid w:val="00AF2787"/>
    <w:rsid w:val="00AF30D7"/>
    <w:rsid w:val="00AF7FC7"/>
    <w:rsid w:val="00B02E5C"/>
    <w:rsid w:val="00B04D5C"/>
    <w:rsid w:val="00B06B6F"/>
    <w:rsid w:val="00B0780D"/>
    <w:rsid w:val="00B1334A"/>
    <w:rsid w:val="00B15AB7"/>
    <w:rsid w:val="00B24027"/>
    <w:rsid w:val="00B25973"/>
    <w:rsid w:val="00B32CD4"/>
    <w:rsid w:val="00B35BFD"/>
    <w:rsid w:val="00B37AD2"/>
    <w:rsid w:val="00B40329"/>
    <w:rsid w:val="00B4229C"/>
    <w:rsid w:val="00B42A0C"/>
    <w:rsid w:val="00B478E0"/>
    <w:rsid w:val="00B47DD4"/>
    <w:rsid w:val="00B52F38"/>
    <w:rsid w:val="00B54CA9"/>
    <w:rsid w:val="00B565C9"/>
    <w:rsid w:val="00B6034E"/>
    <w:rsid w:val="00B623BC"/>
    <w:rsid w:val="00B62746"/>
    <w:rsid w:val="00B70199"/>
    <w:rsid w:val="00B709C6"/>
    <w:rsid w:val="00B71CD9"/>
    <w:rsid w:val="00B73895"/>
    <w:rsid w:val="00B74C35"/>
    <w:rsid w:val="00B770D9"/>
    <w:rsid w:val="00B83742"/>
    <w:rsid w:val="00B84992"/>
    <w:rsid w:val="00B85BC2"/>
    <w:rsid w:val="00B9263B"/>
    <w:rsid w:val="00BA73DA"/>
    <w:rsid w:val="00BB29A9"/>
    <w:rsid w:val="00BB32BF"/>
    <w:rsid w:val="00BB7F55"/>
    <w:rsid w:val="00BC448F"/>
    <w:rsid w:val="00BC5836"/>
    <w:rsid w:val="00BC6F0C"/>
    <w:rsid w:val="00BC7253"/>
    <w:rsid w:val="00BD3259"/>
    <w:rsid w:val="00BD68D3"/>
    <w:rsid w:val="00BD6BD2"/>
    <w:rsid w:val="00BD7AD7"/>
    <w:rsid w:val="00BE2296"/>
    <w:rsid w:val="00BE2EE1"/>
    <w:rsid w:val="00BE6CBF"/>
    <w:rsid w:val="00BF0720"/>
    <w:rsid w:val="00BF1DAA"/>
    <w:rsid w:val="00BF2A4C"/>
    <w:rsid w:val="00BF605E"/>
    <w:rsid w:val="00BF6EA5"/>
    <w:rsid w:val="00C138AF"/>
    <w:rsid w:val="00C13D42"/>
    <w:rsid w:val="00C16648"/>
    <w:rsid w:val="00C25D6E"/>
    <w:rsid w:val="00C3338B"/>
    <w:rsid w:val="00C3443C"/>
    <w:rsid w:val="00C465B6"/>
    <w:rsid w:val="00C47E77"/>
    <w:rsid w:val="00C47EBB"/>
    <w:rsid w:val="00C51AF3"/>
    <w:rsid w:val="00C549EF"/>
    <w:rsid w:val="00C5624D"/>
    <w:rsid w:val="00C74D67"/>
    <w:rsid w:val="00C74EAE"/>
    <w:rsid w:val="00C75666"/>
    <w:rsid w:val="00C826F3"/>
    <w:rsid w:val="00C83C84"/>
    <w:rsid w:val="00C849C6"/>
    <w:rsid w:val="00C875C3"/>
    <w:rsid w:val="00C92A9E"/>
    <w:rsid w:val="00C94FC6"/>
    <w:rsid w:val="00C96D31"/>
    <w:rsid w:val="00CA3381"/>
    <w:rsid w:val="00CA3BD7"/>
    <w:rsid w:val="00CA3E8A"/>
    <w:rsid w:val="00CA5960"/>
    <w:rsid w:val="00CB0F57"/>
    <w:rsid w:val="00CB5853"/>
    <w:rsid w:val="00CB59BF"/>
    <w:rsid w:val="00CC2B8A"/>
    <w:rsid w:val="00CC2D11"/>
    <w:rsid w:val="00CC35C4"/>
    <w:rsid w:val="00CC3966"/>
    <w:rsid w:val="00CC62C3"/>
    <w:rsid w:val="00CE6836"/>
    <w:rsid w:val="00CE6AA8"/>
    <w:rsid w:val="00CE6B00"/>
    <w:rsid w:val="00CF5BFC"/>
    <w:rsid w:val="00CF67A5"/>
    <w:rsid w:val="00D00B74"/>
    <w:rsid w:val="00D02F81"/>
    <w:rsid w:val="00D06329"/>
    <w:rsid w:val="00D06D8D"/>
    <w:rsid w:val="00D10523"/>
    <w:rsid w:val="00D135B7"/>
    <w:rsid w:val="00D13A65"/>
    <w:rsid w:val="00D15857"/>
    <w:rsid w:val="00D200AD"/>
    <w:rsid w:val="00D204F6"/>
    <w:rsid w:val="00D2259E"/>
    <w:rsid w:val="00D2268D"/>
    <w:rsid w:val="00D24C62"/>
    <w:rsid w:val="00D32BF8"/>
    <w:rsid w:val="00D4030A"/>
    <w:rsid w:val="00D404A8"/>
    <w:rsid w:val="00D43FE7"/>
    <w:rsid w:val="00D44B2E"/>
    <w:rsid w:val="00D45DE3"/>
    <w:rsid w:val="00D4638D"/>
    <w:rsid w:val="00D47F5D"/>
    <w:rsid w:val="00D506E0"/>
    <w:rsid w:val="00D50BAC"/>
    <w:rsid w:val="00D50F45"/>
    <w:rsid w:val="00D52405"/>
    <w:rsid w:val="00D527F1"/>
    <w:rsid w:val="00D53075"/>
    <w:rsid w:val="00D5422C"/>
    <w:rsid w:val="00D54EC4"/>
    <w:rsid w:val="00D55B96"/>
    <w:rsid w:val="00D66270"/>
    <w:rsid w:val="00D66C70"/>
    <w:rsid w:val="00D80ABE"/>
    <w:rsid w:val="00D80C8C"/>
    <w:rsid w:val="00D87E6A"/>
    <w:rsid w:val="00D9503B"/>
    <w:rsid w:val="00DA2EF6"/>
    <w:rsid w:val="00DA7A66"/>
    <w:rsid w:val="00DB3C47"/>
    <w:rsid w:val="00DB4759"/>
    <w:rsid w:val="00DB6126"/>
    <w:rsid w:val="00DC2DD6"/>
    <w:rsid w:val="00DD1BEA"/>
    <w:rsid w:val="00DD4EE4"/>
    <w:rsid w:val="00DD79BC"/>
    <w:rsid w:val="00DD7D0D"/>
    <w:rsid w:val="00DE03A4"/>
    <w:rsid w:val="00DF2178"/>
    <w:rsid w:val="00DF2FA6"/>
    <w:rsid w:val="00DF5387"/>
    <w:rsid w:val="00DF7D52"/>
    <w:rsid w:val="00E000BB"/>
    <w:rsid w:val="00E03E7B"/>
    <w:rsid w:val="00E04BBB"/>
    <w:rsid w:val="00E11000"/>
    <w:rsid w:val="00E14CA8"/>
    <w:rsid w:val="00E15699"/>
    <w:rsid w:val="00E15C15"/>
    <w:rsid w:val="00E24332"/>
    <w:rsid w:val="00E262FE"/>
    <w:rsid w:val="00E27419"/>
    <w:rsid w:val="00E31C1D"/>
    <w:rsid w:val="00E34056"/>
    <w:rsid w:val="00E3774C"/>
    <w:rsid w:val="00E37AA5"/>
    <w:rsid w:val="00E4254E"/>
    <w:rsid w:val="00E44AAE"/>
    <w:rsid w:val="00E45852"/>
    <w:rsid w:val="00E476D1"/>
    <w:rsid w:val="00E47E53"/>
    <w:rsid w:val="00E47E92"/>
    <w:rsid w:val="00E518BA"/>
    <w:rsid w:val="00E55D66"/>
    <w:rsid w:val="00E56371"/>
    <w:rsid w:val="00E57A7F"/>
    <w:rsid w:val="00E6091A"/>
    <w:rsid w:val="00E60C95"/>
    <w:rsid w:val="00E622D7"/>
    <w:rsid w:val="00E623D8"/>
    <w:rsid w:val="00E643DD"/>
    <w:rsid w:val="00E8370F"/>
    <w:rsid w:val="00E8477C"/>
    <w:rsid w:val="00E849C9"/>
    <w:rsid w:val="00E85013"/>
    <w:rsid w:val="00E85A7E"/>
    <w:rsid w:val="00E86514"/>
    <w:rsid w:val="00E8706A"/>
    <w:rsid w:val="00E9151A"/>
    <w:rsid w:val="00E9316B"/>
    <w:rsid w:val="00E979B6"/>
    <w:rsid w:val="00EA0EE8"/>
    <w:rsid w:val="00EA1413"/>
    <w:rsid w:val="00EA1A63"/>
    <w:rsid w:val="00EA4F21"/>
    <w:rsid w:val="00EB02DB"/>
    <w:rsid w:val="00EB4CD5"/>
    <w:rsid w:val="00EC5AFB"/>
    <w:rsid w:val="00EC5F88"/>
    <w:rsid w:val="00ED28CB"/>
    <w:rsid w:val="00ED4CA0"/>
    <w:rsid w:val="00EE0921"/>
    <w:rsid w:val="00EE1D5C"/>
    <w:rsid w:val="00EE7D93"/>
    <w:rsid w:val="00EF1667"/>
    <w:rsid w:val="00EF673C"/>
    <w:rsid w:val="00EF6F27"/>
    <w:rsid w:val="00F04264"/>
    <w:rsid w:val="00F0468C"/>
    <w:rsid w:val="00F07DA3"/>
    <w:rsid w:val="00F11383"/>
    <w:rsid w:val="00F149AC"/>
    <w:rsid w:val="00F15108"/>
    <w:rsid w:val="00F16575"/>
    <w:rsid w:val="00F17893"/>
    <w:rsid w:val="00F249FF"/>
    <w:rsid w:val="00F3156E"/>
    <w:rsid w:val="00F31C9C"/>
    <w:rsid w:val="00F4155F"/>
    <w:rsid w:val="00F41E91"/>
    <w:rsid w:val="00F54B5E"/>
    <w:rsid w:val="00F604CA"/>
    <w:rsid w:val="00F61F34"/>
    <w:rsid w:val="00F6671D"/>
    <w:rsid w:val="00F74046"/>
    <w:rsid w:val="00F74D81"/>
    <w:rsid w:val="00F82B30"/>
    <w:rsid w:val="00F8444B"/>
    <w:rsid w:val="00F85087"/>
    <w:rsid w:val="00F95162"/>
    <w:rsid w:val="00F97F10"/>
    <w:rsid w:val="00FA29CB"/>
    <w:rsid w:val="00FA3E44"/>
    <w:rsid w:val="00FA61D5"/>
    <w:rsid w:val="00FB0DDA"/>
    <w:rsid w:val="00FB13CF"/>
    <w:rsid w:val="00FB1ADE"/>
    <w:rsid w:val="00FB1D64"/>
    <w:rsid w:val="00FB2724"/>
    <w:rsid w:val="00FB52A9"/>
    <w:rsid w:val="00FB5A4C"/>
    <w:rsid w:val="00FC14D2"/>
    <w:rsid w:val="00FC692D"/>
    <w:rsid w:val="00FD0077"/>
    <w:rsid w:val="00FD01E9"/>
    <w:rsid w:val="00FD3A74"/>
    <w:rsid w:val="00FD436E"/>
    <w:rsid w:val="00FE401F"/>
    <w:rsid w:val="00FE43AE"/>
    <w:rsid w:val="00FE4A9F"/>
    <w:rsid w:val="00FE54A4"/>
    <w:rsid w:val="00FE62C5"/>
    <w:rsid w:val="00FF14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0834">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20" w:after="120" w:line="20" w:lineRule="atLeas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F52"/>
    <w:pPr>
      <w:autoSpaceDE w:val="0"/>
      <w:autoSpaceDN w:val="0"/>
      <w:adjustRightInd w:val="0"/>
      <w:spacing w:after="0" w:line="360" w:lineRule="auto"/>
    </w:pPr>
    <w:rPr>
      <w:rFonts w:asciiTheme="majorBidi" w:hAnsiTheme="majorBidi" w:cstheme="majorBidi"/>
      <w:sz w:val="24"/>
      <w:szCs w:val="24"/>
    </w:rPr>
  </w:style>
  <w:style w:type="paragraph" w:styleId="Titre1">
    <w:name w:val="heading 1"/>
    <w:basedOn w:val="Normal"/>
    <w:next w:val="Normal"/>
    <w:link w:val="Titre1Car"/>
    <w:uiPriority w:val="9"/>
    <w:qFormat/>
    <w:rsid w:val="00D9503B"/>
    <w:pPr>
      <w:keepNext/>
      <w:keepLines/>
      <w:spacing w:before="480"/>
      <w:outlineLvl w:val="0"/>
    </w:pPr>
    <w:rPr>
      <w:rFonts w:asciiTheme="majorHAnsi" w:eastAsiaTheme="majorEastAsia" w:hAnsiTheme="majorHAnsi"/>
      <w:b/>
      <w:bCs/>
      <w:color w:val="365F91" w:themeColor="accent1" w:themeShade="BF"/>
      <w:sz w:val="28"/>
      <w:szCs w:val="28"/>
    </w:rPr>
  </w:style>
  <w:style w:type="paragraph" w:styleId="Titre2">
    <w:name w:val="heading 2"/>
    <w:basedOn w:val="Normal"/>
    <w:next w:val="Normal"/>
    <w:link w:val="Titre2Car"/>
    <w:uiPriority w:val="9"/>
    <w:unhideWhenUsed/>
    <w:qFormat/>
    <w:rsid w:val="00D9503B"/>
    <w:pPr>
      <w:keepNext/>
      <w:keepLines/>
      <w:spacing w:before="200"/>
      <w:outlineLvl w:val="1"/>
    </w:pPr>
    <w:rPr>
      <w:rFonts w:asciiTheme="majorHAnsi" w:eastAsiaTheme="majorEastAsia" w:hAnsiTheme="majorHAnsi"/>
      <w:b/>
      <w:bCs/>
      <w:color w:val="4F81BD" w:themeColor="accent1"/>
      <w:sz w:val="26"/>
      <w:szCs w:val="26"/>
    </w:rPr>
  </w:style>
  <w:style w:type="paragraph" w:styleId="Titre3">
    <w:name w:val="heading 3"/>
    <w:basedOn w:val="Normal"/>
    <w:link w:val="Titre3Car"/>
    <w:uiPriority w:val="9"/>
    <w:qFormat/>
    <w:rsid w:val="00D9503B"/>
    <w:pPr>
      <w:spacing w:before="100" w:beforeAutospacing="1" w:after="100" w:afterAutospacing="1" w:line="240" w:lineRule="auto"/>
      <w:jc w:val="left"/>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14CA8"/>
    <w:pPr>
      <w:autoSpaceDE w:val="0"/>
      <w:autoSpaceDN w:val="0"/>
      <w:adjustRightInd w:val="0"/>
      <w:spacing w:before="0" w:after="0" w:line="240" w:lineRule="auto"/>
      <w:jc w:val="left"/>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E14CA8"/>
    <w:pPr>
      <w:spacing w:before="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14CA8"/>
    <w:rPr>
      <w:rFonts w:ascii="Tahoma" w:hAnsi="Tahoma" w:cs="Tahoma"/>
      <w:sz w:val="16"/>
      <w:szCs w:val="16"/>
    </w:rPr>
  </w:style>
  <w:style w:type="paragraph" w:customStyle="1" w:styleId="Para1">
    <w:name w:val="Para 1"/>
    <w:basedOn w:val="Normal"/>
    <w:qFormat/>
    <w:rsid w:val="00E37AA5"/>
    <w:pPr>
      <w:spacing w:beforeLines="100" w:afterLines="100" w:line="288" w:lineRule="atLeast"/>
      <w:jc w:val="left"/>
    </w:pPr>
    <w:rPr>
      <w:rFonts w:ascii="Cambria" w:eastAsia="Cambria" w:hAnsi="Cambria" w:cs="Times New Roman"/>
      <w:b/>
      <w:bCs/>
      <w:color w:val="000000"/>
      <w:lang w:eastAsia="fr-FR"/>
    </w:rPr>
  </w:style>
  <w:style w:type="paragraph" w:customStyle="1" w:styleId="Para3">
    <w:name w:val="Para 3"/>
    <w:basedOn w:val="Normal"/>
    <w:qFormat/>
    <w:rsid w:val="00E37AA5"/>
    <w:pPr>
      <w:spacing w:beforeLines="100" w:afterLines="100" w:line="288" w:lineRule="atLeast"/>
      <w:jc w:val="left"/>
    </w:pPr>
    <w:rPr>
      <w:rFonts w:ascii="Cambria" w:eastAsia="Cambria" w:hAnsi="Cambria" w:cs="Times New Roman"/>
      <w:i/>
      <w:iCs/>
      <w:color w:val="000000"/>
      <w:lang w:eastAsia="fr-FR"/>
    </w:rPr>
  </w:style>
  <w:style w:type="paragraph" w:customStyle="1" w:styleId="Para5">
    <w:name w:val="Para 5"/>
    <w:basedOn w:val="Normal"/>
    <w:qFormat/>
    <w:rsid w:val="00E37AA5"/>
    <w:pPr>
      <w:spacing w:beforeLines="100" w:afterLines="100" w:line="288" w:lineRule="atLeast"/>
      <w:jc w:val="left"/>
    </w:pPr>
    <w:rPr>
      <w:rFonts w:ascii="Cambria" w:eastAsia="Cambria" w:hAnsi="Cambria" w:cs="Times New Roman"/>
      <w:b/>
      <w:bCs/>
      <w:i/>
      <w:iCs/>
      <w:color w:val="000000"/>
      <w:lang w:eastAsia="fr-FR"/>
    </w:rPr>
  </w:style>
  <w:style w:type="character" w:customStyle="1" w:styleId="1Text">
    <w:name w:val="1 Text"/>
    <w:rsid w:val="00E37AA5"/>
    <w:rPr>
      <w:i/>
      <w:iCs/>
    </w:rPr>
  </w:style>
  <w:style w:type="character" w:customStyle="1" w:styleId="2Text">
    <w:name w:val="2 Text"/>
    <w:rsid w:val="00E37AA5"/>
    <w:rPr>
      <w:b/>
      <w:bCs/>
      <w:i/>
      <w:iCs/>
    </w:rPr>
  </w:style>
  <w:style w:type="character" w:customStyle="1" w:styleId="0Text">
    <w:name w:val="0 Text"/>
    <w:rsid w:val="008C06A5"/>
    <w:rPr>
      <w:b/>
      <w:bCs/>
    </w:rPr>
  </w:style>
  <w:style w:type="paragraph" w:styleId="Paragraphedeliste">
    <w:name w:val="List Paragraph"/>
    <w:basedOn w:val="Normal"/>
    <w:uiPriority w:val="34"/>
    <w:qFormat/>
    <w:rsid w:val="00E3774C"/>
    <w:pPr>
      <w:ind w:left="720"/>
      <w:contextualSpacing/>
    </w:pPr>
  </w:style>
  <w:style w:type="table" w:styleId="Grilledutableau">
    <w:name w:val="Table Grid"/>
    <w:basedOn w:val="TableauNormal"/>
    <w:uiPriority w:val="59"/>
    <w:rsid w:val="0013566F"/>
    <w:pPr>
      <w:spacing w:before="0"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6E2C2C"/>
    <w:pPr>
      <w:tabs>
        <w:tab w:val="center" w:pos="4536"/>
        <w:tab w:val="right" w:pos="9072"/>
      </w:tabs>
      <w:spacing w:before="0" w:line="240" w:lineRule="auto"/>
    </w:pPr>
  </w:style>
  <w:style w:type="character" w:customStyle="1" w:styleId="En-tteCar">
    <w:name w:val="En-tête Car"/>
    <w:basedOn w:val="Policepardfaut"/>
    <w:link w:val="En-tte"/>
    <w:uiPriority w:val="99"/>
    <w:rsid w:val="006E2C2C"/>
  </w:style>
  <w:style w:type="paragraph" w:styleId="Pieddepage">
    <w:name w:val="footer"/>
    <w:basedOn w:val="Normal"/>
    <w:link w:val="PieddepageCar"/>
    <w:uiPriority w:val="99"/>
    <w:unhideWhenUsed/>
    <w:rsid w:val="006E2C2C"/>
    <w:pPr>
      <w:tabs>
        <w:tab w:val="center" w:pos="4536"/>
        <w:tab w:val="right" w:pos="9072"/>
      </w:tabs>
      <w:spacing w:before="0" w:line="240" w:lineRule="auto"/>
    </w:pPr>
  </w:style>
  <w:style w:type="character" w:customStyle="1" w:styleId="PieddepageCar">
    <w:name w:val="Pied de page Car"/>
    <w:basedOn w:val="Policepardfaut"/>
    <w:link w:val="Pieddepage"/>
    <w:uiPriority w:val="99"/>
    <w:rsid w:val="006E2C2C"/>
  </w:style>
  <w:style w:type="character" w:styleId="Textedelespacerserv">
    <w:name w:val="Placeholder Text"/>
    <w:basedOn w:val="Policepardfaut"/>
    <w:uiPriority w:val="99"/>
    <w:semiHidden/>
    <w:rsid w:val="00FB5A4C"/>
    <w:rPr>
      <w:color w:val="808080"/>
    </w:rPr>
  </w:style>
  <w:style w:type="character" w:customStyle="1" w:styleId="souligne">
    <w:name w:val="souligne"/>
    <w:basedOn w:val="Policepardfaut"/>
    <w:rsid w:val="004A1A39"/>
  </w:style>
  <w:style w:type="character" w:styleId="Lienhypertexte">
    <w:name w:val="Hyperlink"/>
    <w:basedOn w:val="Policepardfaut"/>
    <w:uiPriority w:val="99"/>
    <w:unhideWhenUsed/>
    <w:rsid w:val="004A1A39"/>
    <w:rPr>
      <w:color w:val="0000FF"/>
      <w:u w:val="single"/>
    </w:rPr>
  </w:style>
  <w:style w:type="paragraph" w:styleId="NormalWeb">
    <w:name w:val="Normal (Web)"/>
    <w:basedOn w:val="Normal"/>
    <w:uiPriority w:val="99"/>
    <w:unhideWhenUsed/>
    <w:rsid w:val="004C235B"/>
    <w:pPr>
      <w:spacing w:before="100" w:beforeAutospacing="1" w:after="100" w:afterAutospacing="1" w:line="240" w:lineRule="auto"/>
      <w:jc w:val="left"/>
    </w:pPr>
    <w:rPr>
      <w:rFonts w:ascii="Times New Roman" w:eastAsia="Times New Roman" w:hAnsi="Times New Roman" w:cs="Times New Roman"/>
      <w:lang w:eastAsia="fr-FR"/>
    </w:rPr>
  </w:style>
  <w:style w:type="character" w:styleId="Accentuation">
    <w:name w:val="Emphasis"/>
    <w:basedOn w:val="Policepardfaut"/>
    <w:uiPriority w:val="20"/>
    <w:qFormat/>
    <w:rsid w:val="004C235B"/>
    <w:rPr>
      <w:i/>
      <w:iCs/>
    </w:rPr>
  </w:style>
  <w:style w:type="character" w:customStyle="1" w:styleId="link-wrapper">
    <w:name w:val="link-wrapper"/>
    <w:basedOn w:val="Policepardfaut"/>
    <w:rsid w:val="005F14E8"/>
  </w:style>
  <w:style w:type="character" w:styleId="Numrodeligne">
    <w:name w:val="line number"/>
    <w:basedOn w:val="Policepardfaut"/>
    <w:uiPriority w:val="99"/>
    <w:semiHidden/>
    <w:unhideWhenUsed/>
    <w:rsid w:val="00F74D81"/>
  </w:style>
  <w:style w:type="character" w:customStyle="1" w:styleId="Titre1Car">
    <w:name w:val="Titre 1 Car"/>
    <w:basedOn w:val="Policepardfaut"/>
    <w:link w:val="Titre1"/>
    <w:uiPriority w:val="9"/>
    <w:rsid w:val="00D9503B"/>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D9503B"/>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9503B"/>
    <w:rPr>
      <w:rFonts w:ascii="Times New Roman" w:eastAsia="Times New Roman" w:hAnsi="Times New Roman" w:cs="Times New Roman"/>
      <w:b/>
      <w:bCs/>
      <w:sz w:val="27"/>
      <w:szCs w:val="27"/>
      <w:lang w:eastAsia="fr-FR"/>
    </w:rPr>
  </w:style>
  <w:style w:type="paragraph" w:styleId="PrformatHTML">
    <w:name w:val="HTML Preformatted"/>
    <w:basedOn w:val="Normal"/>
    <w:link w:val="PrformatHTMLCar"/>
    <w:uiPriority w:val="99"/>
    <w:unhideWhenUsed/>
    <w:rsid w:val="00D9503B"/>
    <w:pPr>
      <w:spacing w:before="0" w:line="240" w:lineRule="auto"/>
      <w:jc w:val="left"/>
    </w:pPr>
    <w:rPr>
      <w:rFonts w:ascii="Consolas" w:eastAsia="Times New Roman" w:hAnsi="Consolas" w:cs="Consolas"/>
      <w:sz w:val="20"/>
      <w:szCs w:val="20"/>
      <w:lang w:val="en-US"/>
    </w:rPr>
  </w:style>
  <w:style w:type="character" w:customStyle="1" w:styleId="PrformatHTMLCar">
    <w:name w:val="Préformaté HTML Car"/>
    <w:basedOn w:val="Policepardfaut"/>
    <w:link w:val="PrformatHTML"/>
    <w:uiPriority w:val="99"/>
    <w:rsid w:val="00D9503B"/>
    <w:rPr>
      <w:rFonts w:ascii="Consolas" w:eastAsia="Times New Roman" w:hAnsi="Consolas" w:cs="Consolas"/>
      <w:sz w:val="20"/>
      <w:szCs w:val="20"/>
      <w:lang w:val="en-US"/>
    </w:rPr>
  </w:style>
  <w:style w:type="paragraph" w:customStyle="1" w:styleId="book-edition-year">
    <w:name w:val="book-edition-year"/>
    <w:basedOn w:val="Normal"/>
    <w:rsid w:val="00D9503B"/>
    <w:pPr>
      <w:spacing w:before="100" w:beforeAutospacing="1" w:after="100" w:afterAutospacing="1" w:line="240" w:lineRule="auto"/>
      <w:jc w:val="left"/>
    </w:pPr>
    <w:rPr>
      <w:rFonts w:ascii="Times New Roman" w:eastAsia="Times New Roman" w:hAnsi="Times New Roman" w:cs="Times New Roman"/>
      <w:lang w:eastAsia="fr-FR"/>
    </w:rPr>
  </w:style>
  <w:style w:type="character" w:styleId="lev">
    <w:name w:val="Strong"/>
    <w:basedOn w:val="Policepardfaut"/>
    <w:uiPriority w:val="22"/>
    <w:qFormat/>
    <w:rsid w:val="00D9503B"/>
    <w:rPr>
      <w:b/>
      <w:bCs/>
    </w:rPr>
  </w:style>
  <w:style w:type="paragraph" w:styleId="Corpsdetexte">
    <w:name w:val="Body Text"/>
    <w:basedOn w:val="Normal"/>
    <w:link w:val="CorpsdetexteCar"/>
    <w:uiPriority w:val="1"/>
    <w:qFormat/>
    <w:rsid w:val="00D9503B"/>
    <w:pPr>
      <w:widowControl w:val="0"/>
      <w:spacing w:before="0" w:line="240" w:lineRule="auto"/>
      <w:jc w:val="left"/>
    </w:pPr>
    <w:rPr>
      <w:rFonts w:ascii="Arial" w:eastAsia="Arial" w:hAnsi="Arial" w:cs="Arial"/>
      <w:lang w:eastAsia="fr-FR" w:bidi="fr-FR"/>
    </w:rPr>
  </w:style>
  <w:style w:type="character" w:customStyle="1" w:styleId="CorpsdetexteCar">
    <w:name w:val="Corps de texte Car"/>
    <w:basedOn w:val="Policepardfaut"/>
    <w:link w:val="Corpsdetexte"/>
    <w:uiPriority w:val="1"/>
    <w:rsid w:val="00D9503B"/>
    <w:rPr>
      <w:rFonts w:ascii="Arial" w:eastAsia="Arial" w:hAnsi="Arial" w:cs="Arial"/>
      <w:lang w:eastAsia="fr-FR" w:bidi="fr-FR"/>
    </w:rPr>
  </w:style>
  <w:style w:type="paragraph" w:styleId="Sansinterligne">
    <w:name w:val="No Spacing"/>
    <w:link w:val="SansinterligneCar"/>
    <w:uiPriority w:val="1"/>
    <w:qFormat/>
    <w:rsid w:val="00F82B30"/>
    <w:pPr>
      <w:spacing w:before="0" w:after="0" w:line="240" w:lineRule="auto"/>
      <w:jc w:val="left"/>
    </w:pPr>
    <w:rPr>
      <w:rFonts w:eastAsiaTheme="minorEastAsia"/>
    </w:rPr>
  </w:style>
  <w:style w:type="character" w:customStyle="1" w:styleId="SansinterligneCar">
    <w:name w:val="Sans interligne Car"/>
    <w:basedOn w:val="Policepardfaut"/>
    <w:link w:val="Sansinterligne"/>
    <w:uiPriority w:val="1"/>
    <w:rsid w:val="00F82B30"/>
    <w:rPr>
      <w:rFonts w:eastAsiaTheme="minorEastAsia"/>
    </w:rPr>
  </w:style>
  <w:style w:type="table" w:styleId="Ombrageclair">
    <w:name w:val="Light Shading"/>
    <w:basedOn w:val="TableauNormal"/>
    <w:uiPriority w:val="60"/>
    <w:rsid w:val="00081F47"/>
    <w:pPr>
      <w:spacing w:before="0"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eclaire">
    <w:name w:val="Light List"/>
    <w:basedOn w:val="TableauNormal"/>
    <w:uiPriority w:val="61"/>
    <w:rsid w:val="00081F47"/>
    <w:pPr>
      <w:spacing w:before="0"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tyle1">
    <w:name w:val="Style1"/>
    <w:basedOn w:val="Tableauliste3"/>
    <w:uiPriority w:val="99"/>
    <w:qFormat/>
    <w:rsid w:val="00081F47"/>
    <w:pPr>
      <w:spacing w:before="0" w:line="240" w:lineRule="auto"/>
      <w:jc w:val="left"/>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081F47"/>
    <w:pPr>
      <w:autoSpaceDE w:val="0"/>
      <w:autoSpaceDN w:val="0"/>
      <w:adjustRightInd w:val="0"/>
      <w:spacing w:after="0" w:line="360" w:lineRule="auto"/>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paragraph" w:customStyle="1" w:styleId="Style">
    <w:name w:val="Style"/>
    <w:rsid w:val="00AB0A4C"/>
    <w:pPr>
      <w:widowControl w:val="0"/>
      <w:autoSpaceDE w:val="0"/>
      <w:autoSpaceDN w:val="0"/>
      <w:adjustRightInd w:val="0"/>
      <w:spacing w:before="0" w:after="0" w:line="240" w:lineRule="auto"/>
      <w:jc w:val="left"/>
    </w:pPr>
    <w:rPr>
      <w:rFonts w:ascii="Arial" w:eastAsia="Times New Roman" w:hAnsi="Arial" w:cs="Arial"/>
      <w:sz w:val="24"/>
      <w:szCs w:val="24"/>
      <w:lang w:eastAsia="fr-FR"/>
    </w:rPr>
  </w:style>
</w:styles>
</file>

<file path=word/webSettings.xml><?xml version="1.0" encoding="utf-8"?>
<w:webSettings xmlns:r="http://schemas.openxmlformats.org/officeDocument/2006/relationships" xmlns:w="http://schemas.openxmlformats.org/wordprocessingml/2006/main">
  <w:divs>
    <w:div w:id="268197720">
      <w:bodyDiv w:val="1"/>
      <w:marLeft w:val="0"/>
      <w:marRight w:val="0"/>
      <w:marTop w:val="0"/>
      <w:marBottom w:val="0"/>
      <w:divBdr>
        <w:top w:val="none" w:sz="0" w:space="0" w:color="auto"/>
        <w:left w:val="none" w:sz="0" w:space="0" w:color="auto"/>
        <w:bottom w:val="none" w:sz="0" w:space="0" w:color="auto"/>
        <w:right w:val="none" w:sz="0" w:space="0" w:color="auto"/>
      </w:divBdr>
    </w:div>
    <w:div w:id="404106971">
      <w:bodyDiv w:val="1"/>
      <w:marLeft w:val="0"/>
      <w:marRight w:val="0"/>
      <w:marTop w:val="0"/>
      <w:marBottom w:val="0"/>
      <w:divBdr>
        <w:top w:val="none" w:sz="0" w:space="0" w:color="auto"/>
        <w:left w:val="none" w:sz="0" w:space="0" w:color="auto"/>
        <w:bottom w:val="none" w:sz="0" w:space="0" w:color="auto"/>
        <w:right w:val="none" w:sz="0" w:space="0" w:color="auto"/>
      </w:divBdr>
    </w:div>
    <w:div w:id="878467281">
      <w:bodyDiv w:val="1"/>
      <w:marLeft w:val="0"/>
      <w:marRight w:val="0"/>
      <w:marTop w:val="0"/>
      <w:marBottom w:val="0"/>
      <w:divBdr>
        <w:top w:val="none" w:sz="0" w:space="0" w:color="auto"/>
        <w:left w:val="none" w:sz="0" w:space="0" w:color="auto"/>
        <w:bottom w:val="none" w:sz="0" w:space="0" w:color="auto"/>
        <w:right w:val="none" w:sz="0" w:space="0" w:color="auto"/>
      </w:divBdr>
    </w:div>
    <w:div w:id="1316030866">
      <w:bodyDiv w:val="1"/>
      <w:marLeft w:val="0"/>
      <w:marRight w:val="0"/>
      <w:marTop w:val="0"/>
      <w:marBottom w:val="0"/>
      <w:divBdr>
        <w:top w:val="none" w:sz="0" w:space="0" w:color="auto"/>
        <w:left w:val="none" w:sz="0" w:space="0" w:color="auto"/>
        <w:bottom w:val="none" w:sz="0" w:space="0" w:color="auto"/>
        <w:right w:val="none" w:sz="0" w:space="0" w:color="auto"/>
      </w:divBdr>
    </w:div>
    <w:div w:id="1488087559">
      <w:bodyDiv w:val="1"/>
      <w:marLeft w:val="0"/>
      <w:marRight w:val="0"/>
      <w:marTop w:val="0"/>
      <w:marBottom w:val="0"/>
      <w:divBdr>
        <w:top w:val="none" w:sz="0" w:space="0" w:color="auto"/>
        <w:left w:val="none" w:sz="0" w:space="0" w:color="auto"/>
        <w:bottom w:val="none" w:sz="0" w:space="0" w:color="auto"/>
        <w:right w:val="none" w:sz="0" w:space="0" w:color="auto"/>
      </w:divBdr>
    </w:div>
    <w:div w:id="1592423156">
      <w:bodyDiv w:val="1"/>
      <w:marLeft w:val="0"/>
      <w:marRight w:val="0"/>
      <w:marTop w:val="0"/>
      <w:marBottom w:val="0"/>
      <w:divBdr>
        <w:top w:val="none" w:sz="0" w:space="0" w:color="auto"/>
        <w:left w:val="none" w:sz="0" w:space="0" w:color="auto"/>
        <w:bottom w:val="none" w:sz="0" w:space="0" w:color="auto"/>
        <w:right w:val="none" w:sz="0" w:space="0" w:color="auto"/>
      </w:divBdr>
    </w:div>
    <w:div w:id="1658192702">
      <w:bodyDiv w:val="1"/>
      <w:marLeft w:val="0"/>
      <w:marRight w:val="0"/>
      <w:marTop w:val="0"/>
      <w:marBottom w:val="0"/>
      <w:divBdr>
        <w:top w:val="none" w:sz="0" w:space="0" w:color="auto"/>
        <w:left w:val="none" w:sz="0" w:space="0" w:color="auto"/>
        <w:bottom w:val="none" w:sz="0" w:space="0" w:color="auto"/>
        <w:right w:val="none" w:sz="0" w:space="0" w:color="auto"/>
      </w:divBdr>
    </w:div>
    <w:div w:id="1814826942">
      <w:bodyDiv w:val="1"/>
      <w:marLeft w:val="0"/>
      <w:marRight w:val="0"/>
      <w:marTop w:val="0"/>
      <w:marBottom w:val="0"/>
      <w:divBdr>
        <w:top w:val="none" w:sz="0" w:space="0" w:color="auto"/>
        <w:left w:val="none" w:sz="0" w:space="0" w:color="auto"/>
        <w:bottom w:val="none" w:sz="0" w:space="0" w:color="auto"/>
        <w:right w:val="none" w:sz="0" w:space="0" w:color="auto"/>
      </w:divBdr>
    </w:div>
    <w:div w:id="1905411175">
      <w:bodyDiv w:val="1"/>
      <w:marLeft w:val="0"/>
      <w:marRight w:val="0"/>
      <w:marTop w:val="0"/>
      <w:marBottom w:val="0"/>
      <w:divBdr>
        <w:top w:val="none" w:sz="0" w:space="0" w:color="auto"/>
        <w:left w:val="none" w:sz="0" w:space="0" w:color="auto"/>
        <w:bottom w:val="none" w:sz="0" w:space="0" w:color="auto"/>
        <w:right w:val="none" w:sz="0" w:space="0" w:color="auto"/>
      </w:divBdr>
      <w:divsChild>
        <w:div w:id="490876876">
          <w:marLeft w:val="0"/>
          <w:marRight w:val="360"/>
          <w:marTop w:val="43"/>
          <w:marBottom w:val="120"/>
          <w:divBdr>
            <w:top w:val="none" w:sz="0" w:space="0" w:color="auto"/>
            <w:left w:val="none" w:sz="0" w:space="0" w:color="auto"/>
            <w:bottom w:val="none" w:sz="0" w:space="0" w:color="auto"/>
            <w:right w:val="none" w:sz="0" w:space="0" w:color="auto"/>
          </w:divBdr>
        </w:div>
        <w:div w:id="951783314">
          <w:marLeft w:val="360"/>
          <w:marRight w:val="0"/>
          <w:marTop w:val="43"/>
          <w:marBottom w:val="120"/>
          <w:divBdr>
            <w:top w:val="none" w:sz="0" w:space="0" w:color="auto"/>
            <w:left w:val="none" w:sz="0" w:space="0" w:color="auto"/>
            <w:bottom w:val="none" w:sz="0" w:space="0" w:color="auto"/>
            <w:right w:val="none" w:sz="0" w:space="0" w:color="auto"/>
          </w:divBdr>
        </w:div>
      </w:divsChild>
    </w:div>
    <w:div w:id="2111387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Synthèse bibliographique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DD451F-212B-40C3-8D13-480F678DF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3024</TotalTime>
  <Pages>3</Pages>
  <Words>819</Words>
  <Characters>4507</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Privé</Company>
  <LinksUpToDate>false</LinksUpToDate>
  <CharactersWithSpaces>5316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Administrateur</dc:creator>
  <cp:lastModifiedBy>pc</cp:lastModifiedBy>
  <cp:revision>696</cp:revision>
  <cp:lastPrinted>2021-06-09T15:14:00Z</cp:lastPrinted>
  <dcterms:created xsi:type="dcterms:W3CDTF">2019-02-22T10:04:00Z</dcterms:created>
  <dcterms:modified xsi:type="dcterms:W3CDTF">2021-12-01T07:02:00Z</dcterms:modified>
</cp:coreProperties>
</file>