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D71" w:rsidRPr="00AA5D71" w:rsidRDefault="00AA5D71" w:rsidP="00AA5D71">
      <w:pPr>
        <w:ind w:right="-142" w:hanging="58"/>
        <w:jc w:val="lowKashida"/>
        <w:rPr>
          <w:rFonts w:ascii="Traditional Arabic" w:hAnsi="Traditional Arabic" w:cs="Traditional Arabic"/>
          <w:b/>
          <w:bCs/>
          <w:sz w:val="32"/>
          <w:szCs w:val="32"/>
          <w:rtl/>
          <w:lang w:bidi="ar-DZ"/>
        </w:rPr>
      </w:pPr>
      <w:r w:rsidRPr="00AA5D71">
        <w:rPr>
          <w:rFonts w:ascii="Traditional Arabic" w:hAnsi="Traditional Arabic" w:cs="Traditional Arabic" w:hint="cs"/>
          <w:b/>
          <w:bCs/>
          <w:sz w:val="32"/>
          <w:szCs w:val="32"/>
          <w:rtl/>
          <w:lang w:bidi="ar-DZ"/>
        </w:rPr>
        <w:t xml:space="preserve">الملخص: </w:t>
      </w:r>
    </w:p>
    <w:p w:rsidR="00A24AD9" w:rsidRDefault="00A53042" w:rsidP="00442E4B">
      <w:pPr>
        <w:ind w:right="-142" w:firstLine="651"/>
        <w:jc w:val="lowKashida"/>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هدفت هذه الدراسة إلى</w:t>
      </w:r>
      <w:r w:rsidR="00603171">
        <w:rPr>
          <w:rFonts w:ascii="Traditional Arabic" w:hAnsi="Traditional Arabic" w:cs="Traditional Arabic" w:hint="cs"/>
          <w:sz w:val="32"/>
          <w:szCs w:val="32"/>
          <w:rtl/>
          <w:lang w:bidi="ar-DZ"/>
        </w:rPr>
        <w:t xml:space="preserve"> تبيين </w:t>
      </w:r>
      <w:r w:rsidR="00603171" w:rsidRPr="00603171">
        <w:rPr>
          <w:rFonts w:ascii="Traditional Arabic" w:hAnsi="Traditional Arabic" w:cs="Traditional Arabic"/>
          <w:sz w:val="32"/>
          <w:szCs w:val="32"/>
          <w:rtl/>
          <w:lang w:bidi="ar-DZ"/>
        </w:rPr>
        <w:t xml:space="preserve">واقع الجباية في الدول </w:t>
      </w:r>
      <w:r w:rsidR="00603171" w:rsidRPr="00603171">
        <w:rPr>
          <w:rFonts w:ascii="Traditional Arabic" w:hAnsi="Traditional Arabic" w:cs="Traditional Arabic" w:hint="cs"/>
          <w:sz w:val="32"/>
          <w:szCs w:val="32"/>
          <w:rtl/>
          <w:lang w:bidi="ar-DZ"/>
        </w:rPr>
        <w:t>الإسلامية</w:t>
      </w:r>
      <w:r w:rsidR="00603171" w:rsidRPr="00603171">
        <w:rPr>
          <w:rFonts w:ascii="Traditional Arabic" w:hAnsi="Traditional Arabic" w:cs="Traditional Arabic"/>
          <w:sz w:val="32"/>
          <w:szCs w:val="32"/>
          <w:rtl/>
          <w:lang w:bidi="ar-DZ"/>
        </w:rPr>
        <w:t xml:space="preserve"> وكذا واقع الاستثمار </w:t>
      </w:r>
      <w:r w:rsidR="00603171" w:rsidRPr="00603171">
        <w:rPr>
          <w:rFonts w:ascii="Traditional Arabic" w:hAnsi="Traditional Arabic" w:cs="Traditional Arabic" w:hint="cs"/>
          <w:sz w:val="32"/>
          <w:szCs w:val="32"/>
          <w:rtl/>
          <w:lang w:bidi="ar-DZ"/>
        </w:rPr>
        <w:t>الأجنبي</w:t>
      </w:r>
      <w:r w:rsidR="00603171">
        <w:rPr>
          <w:rFonts w:ascii="Traditional Arabic" w:hAnsi="Traditional Arabic" w:cs="Traditional Arabic"/>
          <w:sz w:val="32"/>
          <w:szCs w:val="32"/>
          <w:rtl/>
          <w:lang w:bidi="ar-DZ"/>
        </w:rPr>
        <w:t xml:space="preserve"> الداخل لهذه الدول</w:t>
      </w:r>
      <w:r w:rsidR="0060317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بالإضافة إلى توضيح</w:t>
      </w:r>
      <w:r w:rsidR="00603171">
        <w:rPr>
          <w:rFonts w:ascii="Traditional Arabic" w:hAnsi="Traditional Arabic" w:cs="Traditional Arabic" w:hint="cs"/>
          <w:sz w:val="32"/>
          <w:szCs w:val="32"/>
          <w:rtl/>
          <w:lang w:bidi="ar-DZ"/>
        </w:rPr>
        <w:t xml:space="preserve"> العلاقة بين التحفيزات الجبائية</w:t>
      </w:r>
      <w:r w:rsidR="00442E4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w:t>
      </w:r>
      <w:r w:rsidR="00603171">
        <w:rPr>
          <w:rFonts w:ascii="Traditional Arabic" w:hAnsi="Traditional Arabic" w:cs="Traditional Arabic" w:hint="cs"/>
          <w:sz w:val="32"/>
          <w:szCs w:val="32"/>
          <w:rtl/>
          <w:lang w:bidi="ar-DZ"/>
        </w:rPr>
        <w:t xml:space="preserve">تدفق الاستثمار </w:t>
      </w:r>
      <w:r w:rsidR="00CA4C82">
        <w:rPr>
          <w:rFonts w:ascii="Traditional Arabic" w:hAnsi="Traditional Arabic" w:cs="Traditional Arabic" w:hint="cs"/>
          <w:sz w:val="32"/>
          <w:szCs w:val="32"/>
          <w:rtl/>
          <w:lang w:bidi="ar-DZ"/>
        </w:rPr>
        <w:t>الأجنبي</w:t>
      </w:r>
      <w:r>
        <w:rPr>
          <w:rFonts w:ascii="Traditional Arabic" w:hAnsi="Traditional Arabic" w:cs="Traditional Arabic" w:hint="cs"/>
          <w:sz w:val="32"/>
          <w:szCs w:val="32"/>
          <w:rtl/>
          <w:lang w:bidi="ar-DZ"/>
        </w:rPr>
        <w:t>،</w:t>
      </w:r>
      <w:r w:rsidR="00603171">
        <w:rPr>
          <w:rFonts w:ascii="Traditional Arabic" w:hAnsi="Traditional Arabic" w:cs="Traditional Arabic" w:hint="cs"/>
          <w:sz w:val="32"/>
          <w:szCs w:val="32"/>
          <w:rtl/>
          <w:lang w:bidi="ar-DZ"/>
        </w:rPr>
        <w:t xml:space="preserve"> حيث</w:t>
      </w:r>
      <w:r>
        <w:rPr>
          <w:rFonts w:ascii="Traditional Arabic" w:hAnsi="Traditional Arabic" w:cs="Traditional Arabic" w:hint="cs"/>
          <w:sz w:val="32"/>
          <w:szCs w:val="32"/>
          <w:rtl/>
          <w:lang w:bidi="ar-DZ"/>
        </w:rPr>
        <w:t xml:space="preserve"> تطرقت الدراسة إلى أهم الدول التي تعرف تقدما</w:t>
      </w:r>
      <w:r w:rsidR="00442E4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في تطبيق الجباية الإسلامية مرتكزة على الزكاة، وكذلك تطور الاستثمار الأجنبي في الدول الإسلامية مقارنة بالعالم وأخيرا استعرضت الدراسة حالة الجزائر، وقد توصلت الدراسة بالاعتماد على المنهج الوصفي التحليلي، إلى مجموعة من النتائج كان من أهمها ضعف تدفق الاستثمار الأجنبي إلى الدول الإسلامية وعدم وجود علاقة اقتصادية بين الجباية الإسلامية والاستثمار الأجنبي، و</w:t>
      </w:r>
      <w:r w:rsidR="00603171">
        <w:rPr>
          <w:rFonts w:ascii="Traditional Arabic" w:hAnsi="Traditional Arabic" w:cs="Traditional Arabic" w:hint="cs"/>
          <w:sz w:val="32"/>
          <w:szCs w:val="32"/>
          <w:rtl/>
          <w:lang w:bidi="ar-DZ"/>
        </w:rPr>
        <w:t xml:space="preserve">عند </w:t>
      </w:r>
      <w:r>
        <w:rPr>
          <w:rFonts w:ascii="Traditional Arabic" w:hAnsi="Traditional Arabic" w:cs="Traditional Arabic" w:hint="cs"/>
          <w:sz w:val="32"/>
          <w:szCs w:val="32"/>
          <w:rtl/>
          <w:lang w:bidi="ar-DZ"/>
        </w:rPr>
        <w:t xml:space="preserve">دراسة حالة </w:t>
      </w:r>
      <w:r w:rsidR="00603171">
        <w:rPr>
          <w:rFonts w:ascii="Traditional Arabic" w:hAnsi="Traditional Arabic" w:cs="Traditional Arabic" w:hint="cs"/>
          <w:sz w:val="32"/>
          <w:szCs w:val="32"/>
          <w:rtl/>
          <w:lang w:bidi="ar-DZ"/>
        </w:rPr>
        <w:t xml:space="preserve">الجزائر </w:t>
      </w:r>
      <w:r>
        <w:rPr>
          <w:rFonts w:ascii="Traditional Arabic" w:hAnsi="Traditional Arabic" w:cs="Traditional Arabic" w:hint="cs"/>
          <w:sz w:val="32"/>
          <w:szCs w:val="32"/>
          <w:rtl/>
          <w:lang w:bidi="ar-DZ"/>
        </w:rPr>
        <w:t xml:space="preserve"> فإنه تم استخلاص </w:t>
      </w:r>
      <w:r w:rsidR="00603171">
        <w:rPr>
          <w:rFonts w:ascii="Traditional Arabic" w:hAnsi="Traditional Arabic" w:cs="Traditional Arabic" w:hint="cs"/>
          <w:sz w:val="32"/>
          <w:szCs w:val="32"/>
          <w:rtl/>
          <w:lang w:bidi="ar-DZ"/>
        </w:rPr>
        <w:t xml:space="preserve">أن التحفيزات الجبائية التي تقدمها الجزائر لمختلف المستثمرين </w:t>
      </w:r>
      <w:r>
        <w:rPr>
          <w:rFonts w:ascii="Traditional Arabic" w:hAnsi="Traditional Arabic" w:cs="Traditional Arabic" w:hint="cs"/>
          <w:sz w:val="32"/>
          <w:szCs w:val="32"/>
          <w:rtl/>
          <w:lang w:bidi="ar-DZ"/>
        </w:rPr>
        <w:t xml:space="preserve">سواء المحليين أو الأجانب </w:t>
      </w:r>
      <w:r w:rsidR="00603171">
        <w:rPr>
          <w:rFonts w:ascii="Traditional Arabic" w:hAnsi="Traditional Arabic" w:cs="Traditional Arabic" w:hint="cs"/>
          <w:sz w:val="32"/>
          <w:szCs w:val="32"/>
          <w:rtl/>
          <w:lang w:bidi="ar-DZ"/>
        </w:rPr>
        <w:t>لا تؤثر بصورة واضحة في قرارات الاستثمار عند الأخذ بالضغط الضريبي الإجمالي كمؤشر.</w:t>
      </w:r>
    </w:p>
    <w:p w:rsidR="00603171" w:rsidRDefault="00603171" w:rsidP="00442E4B">
      <w:pPr>
        <w:ind w:right="-142" w:firstLine="651"/>
        <w:rPr>
          <w:rFonts w:asciiTheme="majorBidi" w:hAnsiTheme="majorBidi" w:cstheme="majorBidi"/>
          <w:sz w:val="40"/>
          <w:szCs w:val="40"/>
          <w:rtl/>
          <w:lang w:bidi="ar-DZ"/>
        </w:rPr>
      </w:pPr>
      <w:r w:rsidRPr="00CA4C82">
        <w:rPr>
          <w:rFonts w:ascii="Traditional Arabic" w:hAnsi="Traditional Arabic" w:cs="Traditional Arabic" w:hint="cs"/>
          <w:b/>
          <w:bCs/>
          <w:sz w:val="32"/>
          <w:szCs w:val="32"/>
          <w:rtl/>
          <w:lang w:bidi="ar-DZ"/>
        </w:rPr>
        <w:t>الكلمات المفتاحية:</w:t>
      </w:r>
      <w:r>
        <w:rPr>
          <w:rFonts w:ascii="Traditional Arabic" w:hAnsi="Traditional Arabic" w:cs="Traditional Arabic" w:hint="cs"/>
          <w:sz w:val="32"/>
          <w:szCs w:val="32"/>
          <w:rtl/>
          <w:lang w:bidi="ar-DZ"/>
        </w:rPr>
        <w:t xml:space="preserve"> الجباية الإسلامية، الاستثمار الأجنبي، مدخل تحليلي.</w:t>
      </w:r>
    </w:p>
    <w:p w:rsidR="00CA4C82" w:rsidRDefault="00CA4C82" w:rsidP="00442E4B">
      <w:pPr>
        <w:bidi w:val="0"/>
        <w:ind w:right="-142" w:firstLine="651"/>
        <w:jc w:val="lowKashida"/>
        <w:rPr>
          <w:rStyle w:val="q4iawc"/>
          <w:rFonts w:asciiTheme="majorBidi" w:hAnsiTheme="majorBidi" w:cstheme="majorBidi"/>
          <w:b/>
          <w:bCs/>
          <w:sz w:val="28"/>
          <w:szCs w:val="28"/>
          <w:lang w:val="fr-FR"/>
        </w:rPr>
      </w:pPr>
      <w:r w:rsidRPr="00CA4C82">
        <w:rPr>
          <w:rStyle w:val="q4iawc"/>
          <w:rFonts w:asciiTheme="majorBidi" w:hAnsiTheme="majorBidi" w:cstheme="majorBidi"/>
          <w:b/>
          <w:bCs/>
          <w:sz w:val="28"/>
          <w:szCs w:val="28"/>
        </w:rPr>
        <w:t>Résumé :</w:t>
      </w:r>
    </w:p>
    <w:p w:rsidR="00442E4B" w:rsidRPr="00442E4B" w:rsidRDefault="00442E4B" w:rsidP="00442E4B">
      <w:pPr>
        <w:bidi w:val="0"/>
        <w:ind w:right="-142" w:firstLine="651"/>
        <w:jc w:val="lowKashida"/>
        <w:rPr>
          <w:rStyle w:val="q4iawc"/>
          <w:rFonts w:asciiTheme="majorBidi" w:hAnsiTheme="majorBidi" w:cstheme="majorBidi"/>
          <w:b/>
          <w:bCs/>
          <w:sz w:val="28"/>
          <w:szCs w:val="28"/>
        </w:rPr>
      </w:pPr>
      <w:r w:rsidRPr="00442E4B">
        <w:rPr>
          <w:rStyle w:val="q4iawc"/>
          <w:rFonts w:asciiTheme="majorBidi" w:hAnsiTheme="majorBidi" w:cstheme="majorBidi"/>
          <w:sz w:val="28"/>
          <w:szCs w:val="28"/>
        </w:rPr>
        <w:t>Cette étude visait à clarifier la réalité de la fiscalité dans les pays islamiques, ainsi que la réalité des investissements étrangers entrants dans ces pays, en plus de clarifier la relation entre les incitations fiscales et les flux d'investissements étrangers , et enfin, l'étude a passé en revue le cas de l'Algérie, et l'étude, s'appuyant sur l'approche analytique descriptive, a abouti à un ensemble de résultats, dont le plus important était le faible flux d'investissements étrangers vers les pays islamiques et l'absence d'un relation entre la collecte islamique et l'investissement étranger, et en étudiant le cas de l'Algérie, il a été conclu que les incitations fiscales offertes par l'Algérie aux différents investisseurs, qu'ils soient locaux ou étrangers, n'affectent pas clairement les décisions d'investissement lorsque la pression fiscale totale est prise comme un indicateur.</w:t>
      </w:r>
    </w:p>
    <w:p w:rsidR="00CA4C82" w:rsidRDefault="00CA4C82" w:rsidP="00442E4B">
      <w:pPr>
        <w:bidi w:val="0"/>
        <w:ind w:left="-284" w:right="-142" w:firstLine="651"/>
        <w:jc w:val="lowKashida"/>
        <w:rPr>
          <w:rStyle w:val="q4iawc"/>
          <w:rFonts w:asciiTheme="majorBidi" w:hAnsiTheme="majorBidi" w:cstheme="majorBidi"/>
          <w:sz w:val="28"/>
          <w:szCs w:val="28"/>
        </w:rPr>
      </w:pPr>
      <w:r w:rsidRPr="00CA4C82">
        <w:rPr>
          <w:rStyle w:val="q4iawc"/>
          <w:rFonts w:asciiTheme="majorBidi" w:hAnsiTheme="majorBidi" w:cstheme="majorBidi"/>
          <w:b/>
          <w:bCs/>
          <w:sz w:val="28"/>
          <w:szCs w:val="28"/>
        </w:rPr>
        <w:t>Mots clés :</w:t>
      </w:r>
      <w:r w:rsidRPr="00CA4C82">
        <w:rPr>
          <w:rStyle w:val="q4iawc"/>
          <w:rFonts w:asciiTheme="majorBidi" w:hAnsiTheme="majorBidi" w:cstheme="majorBidi"/>
          <w:sz w:val="28"/>
          <w:szCs w:val="28"/>
        </w:rPr>
        <w:t>Taxeislamique, investissementétranger, approcheanalytique.</w:t>
      </w:r>
    </w:p>
    <w:p w:rsidR="00442E4B" w:rsidRDefault="00442E4B" w:rsidP="00442E4B">
      <w:pPr>
        <w:bidi w:val="0"/>
        <w:ind w:left="-284" w:right="-142" w:firstLine="651"/>
        <w:jc w:val="lowKashida"/>
        <w:rPr>
          <w:rFonts w:asciiTheme="majorBidi" w:hAnsiTheme="majorBidi" w:cstheme="majorBidi"/>
          <w:sz w:val="28"/>
          <w:szCs w:val="28"/>
          <w:lang w:bidi="ar-DZ"/>
        </w:rPr>
      </w:pPr>
    </w:p>
    <w:p w:rsidR="00442E4B" w:rsidRDefault="00442E4B" w:rsidP="00442E4B">
      <w:pPr>
        <w:bidi w:val="0"/>
        <w:ind w:left="-284" w:right="-142" w:firstLine="651"/>
        <w:jc w:val="lowKashida"/>
        <w:rPr>
          <w:rFonts w:asciiTheme="majorBidi" w:hAnsiTheme="majorBidi" w:cstheme="majorBidi"/>
          <w:sz w:val="28"/>
          <w:szCs w:val="28"/>
          <w:lang w:bidi="ar-DZ"/>
        </w:rPr>
      </w:pPr>
    </w:p>
    <w:p w:rsidR="00442E4B" w:rsidRDefault="00442E4B" w:rsidP="00442E4B">
      <w:pPr>
        <w:bidi w:val="0"/>
        <w:ind w:left="-284" w:right="-142" w:firstLine="651"/>
        <w:jc w:val="lowKashida"/>
        <w:rPr>
          <w:rFonts w:asciiTheme="majorBidi" w:hAnsiTheme="majorBidi" w:cstheme="majorBidi"/>
          <w:sz w:val="28"/>
          <w:szCs w:val="28"/>
          <w:lang w:bidi="ar-DZ"/>
        </w:rPr>
      </w:pPr>
    </w:p>
    <w:p w:rsidR="00442E4B" w:rsidRDefault="00442E4B" w:rsidP="00442E4B">
      <w:pPr>
        <w:bidi w:val="0"/>
        <w:ind w:left="-284" w:right="-142" w:firstLine="651"/>
        <w:jc w:val="lowKashida"/>
        <w:rPr>
          <w:rFonts w:asciiTheme="majorBidi" w:hAnsiTheme="majorBidi" w:cstheme="majorBidi"/>
          <w:sz w:val="28"/>
          <w:szCs w:val="28"/>
          <w:lang w:bidi="ar-DZ"/>
        </w:rPr>
      </w:pPr>
    </w:p>
    <w:p w:rsidR="00CA4C82" w:rsidRDefault="00CA4C82" w:rsidP="00442E4B">
      <w:pPr>
        <w:bidi w:val="0"/>
        <w:ind w:left="-284" w:right="-142" w:firstLine="651"/>
        <w:jc w:val="lowKashida"/>
        <w:rPr>
          <w:rStyle w:val="q4iawc"/>
          <w:rFonts w:asciiTheme="majorBidi" w:hAnsiTheme="majorBidi" w:cstheme="majorBidi"/>
          <w:b/>
          <w:bCs/>
          <w:sz w:val="28"/>
          <w:szCs w:val="28"/>
        </w:rPr>
      </w:pPr>
      <w:r w:rsidRPr="00CA4C82">
        <w:rPr>
          <w:rStyle w:val="q4iawc"/>
          <w:rFonts w:asciiTheme="majorBidi" w:hAnsiTheme="majorBidi" w:cstheme="majorBidi"/>
          <w:b/>
          <w:bCs/>
          <w:sz w:val="28"/>
          <w:szCs w:val="28"/>
        </w:rPr>
        <w:t>Abstract:</w:t>
      </w:r>
    </w:p>
    <w:p w:rsidR="00442E4B" w:rsidRPr="00442E4B" w:rsidRDefault="00442E4B" w:rsidP="00442E4B">
      <w:pPr>
        <w:bidi w:val="0"/>
        <w:ind w:left="-284" w:right="-142" w:firstLine="651"/>
        <w:jc w:val="lowKashida"/>
        <w:rPr>
          <w:rStyle w:val="q4iawc"/>
          <w:rFonts w:asciiTheme="majorBidi" w:hAnsiTheme="majorBidi" w:cstheme="majorBidi"/>
          <w:b/>
          <w:bCs/>
          <w:sz w:val="28"/>
          <w:szCs w:val="28"/>
        </w:rPr>
      </w:pPr>
      <w:r w:rsidRPr="00442E4B">
        <w:rPr>
          <w:rStyle w:val="q4iawc"/>
          <w:rFonts w:asciiTheme="majorBidi" w:hAnsiTheme="majorBidi" w:cstheme="majorBidi"/>
          <w:sz w:val="28"/>
          <w:szCs w:val="28"/>
        </w:rPr>
        <w:t>This study aimed to clarify the reality of taxation in Islamic countries, as well as the reality of inward foreign investment in these countries, in addition to clarifying the relationship between tax incentives and the flow of foreign investment. In the Islamic countries compared to the world, and finally, the study reviewed the case of Algeria, and the study, relying on the descriptive analytical approach, reached a set of results, the most important of which was the weak flow of foreign investment to Islamic countries and the absence of an economic relationship between Islamic collection and foreign investment, and when studying the case of Algeria, it was To conclude that the tax incentives offered by Algeria to various investors, whether local or foreign, do not clearly affect investment decisions when the total tax pressure is taken as an indicator.</w:t>
      </w:r>
    </w:p>
    <w:p w:rsidR="00CA4C82" w:rsidRPr="00CA4C82" w:rsidRDefault="00CA4C82" w:rsidP="00442E4B">
      <w:pPr>
        <w:bidi w:val="0"/>
        <w:ind w:left="-284" w:right="-142" w:firstLine="651"/>
        <w:jc w:val="lowKashida"/>
        <w:rPr>
          <w:rFonts w:asciiTheme="majorBidi" w:hAnsiTheme="majorBidi" w:cstheme="majorBidi"/>
          <w:sz w:val="28"/>
          <w:szCs w:val="28"/>
          <w:rtl/>
          <w:lang w:bidi="ar-DZ"/>
        </w:rPr>
      </w:pPr>
      <w:r w:rsidRPr="00CA4C82">
        <w:rPr>
          <w:rStyle w:val="q4iawc"/>
          <w:rFonts w:asciiTheme="majorBidi" w:hAnsiTheme="majorBidi" w:cstheme="majorBidi"/>
          <w:sz w:val="28"/>
          <w:szCs w:val="28"/>
        </w:rPr>
        <w:t xml:space="preserve"> </w:t>
      </w:r>
      <w:r w:rsidRPr="00CA4C82">
        <w:rPr>
          <w:rStyle w:val="q4iawc"/>
          <w:rFonts w:asciiTheme="majorBidi" w:hAnsiTheme="majorBidi" w:cstheme="majorBidi"/>
          <w:b/>
          <w:bCs/>
          <w:sz w:val="28"/>
          <w:szCs w:val="28"/>
        </w:rPr>
        <w:t>Keywords:</w:t>
      </w:r>
      <w:r w:rsidRPr="00CA4C82">
        <w:rPr>
          <w:rStyle w:val="q4iawc"/>
          <w:rFonts w:asciiTheme="majorBidi" w:hAnsiTheme="majorBidi" w:cstheme="majorBidi"/>
          <w:sz w:val="28"/>
          <w:szCs w:val="28"/>
        </w:rPr>
        <w:t xml:space="preserve"> Islamic tax, foreign investment, analytical approach.</w:t>
      </w:r>
    </w:p>
    <w:sectPr w:rsidR="00CA4C82" w:rsidRPr="00CA4C82" w:rsidSect="00625FD4">
      <w:headerReference w:type="default" r:id="rId8"/>
      <w:pgSz w:w="11906" w:h="16838"/>
      <w:pgMar w:top="1440" w:right="1800" w:bottom="1440" w:left="1800" w:header="708" w:footer="708" w:gutter="0"/>
      <w:pgNumType w:start="25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2C6F" w:rsidRDefault="004A2C6F" w:rsidP="00F575F3">
      <w:pPr>
        <w:spacing w:after="0" w:line="240" w:lineRule="auto"/>
      </w:pPr>
      <w:r>
        <w:separator/>
      </w:r>
    </w:p>
  </w:endnote>
  <w:endnote w:type="continuationSeparator" w:id="1">
    <w:p w:rsidR="004A2C6F" w:rsidRDefault="004A2C6F" w:rsidP="00F575F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2C6F" w:rsidRDefault="004A2C6F" w:rsidP="00F575F3">
      <w:pPr>
        <w:spacing w:after="0" w:line="240" w:lineRule="auto"/>
      </w:pPr>
      <w:r>
        <w:separator/>
      </w:r>
    </w:p>
  </w:footnote>
  <w:footnote w:type="continuationSeparator" w:id="1">
    <w:p w:rsidR="004A2C6F" w:rsidRDefault="004A2C6F" w:rsidP="00F575F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75F3" w:rsidRPr="00F575F3" w:rsidRDefault="00F575F3" w:rsidP="00442E4B">
    <w:pPr>
      <w:pStyle w:val="Sansinterligne"/>
      <w:ind w:hanging="284"/>
      <w:rPr>
        <w:rFonts w:cs="Traditional Arabic"/>
        <w:b/>
        <w:bCs/>
        <w:sz w:val="36"/>
        <w:szCs w:val="36"/>
        <w:u w:val="thick" w:color="7030A0"/>
        <w:lang w:bidi="ar-DZ"/>
      </w:rPr>
    </w:pPr>
  </w:p>
  <w:p w:rsidR="00F575F3" w:rsidRPr="00F575F3" w:rsidRDefault="00F575F3" w:rsidP="00F575F3">
    <w:pPr>
      <w:pStyle w:val="Sansinterligne"/>
      <w:bidi/>
      <w:ind w:left="-385" w:firstLine="426"/>
      <w:rPr>
        <w:u w:val="thick"/>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0303637"/>
    <w:multiLevelType w:val="hybridMultilevel"/>
    <w:tmpl w:val="29F8666E"/>
    <w:lvl w:ilvl="0" w:tplc="040C000D">
      <w:start w:val="1"/>
      <w:numFmt w:val="bullet"/>
      <w:lvlText w:val=""/>
      <w:lvlJc w:val="left"/>
      <w:pPr>
        <w:ind w:left="1229" w:hanging="360"/>
      </w:pPr>
      <w:rPr>
        <w:rFonts w:ascii="Wingdings" w:hAnsi="Wingdings"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1">
    <w:nsid w:val="6F891E78"/>
    <w:multiLevelType w:val="hybridMultilevel"/>
    <w:tmpl w:val="D868B256"/>
    <w:lvl w:ilvl="0" w:tplc="0BB2073E">
      <w:start w:val="1"/>
      <w:numFmt w:val="bullet"/>
      <w:lvlText w:val="-"/>
      <w:lvlJc w:val="left"/>
      <w:pPr>
        <w:ind w:left="501" w:hanging="360"/>
      </w:pPr>
      <w:rPr>
        <w:rFonts w:ascii="Traditional Arabic" w:eastAsiaTheme="minorEastAsia" w:hAnsi="Traditional Arabic" w:cs="Traditional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76074BC7"/>
    <w:multiLevelType w:val="hybridMultilevel"/>
    <w:tmpl w:val="AF0E2C04"/>
    <w:lvl w:ilvl="0" w:tplc="040C000D">
      <w:start w:val="1"/>
      <w:numFmt w:val="bullet"/>
      <w:lvlText w:val=""/>
      <w:lvlJc w:val="left"/>
      <w:pPr>
        <w:ind w:left="1229" w:hanging="360"/>
      </w:pPr>
      <w:rPr>
        <w:rFonts w:ascii="Wingdings" w:hAnsi="Wingdings" w:hint="default"/>
      </w:rPr>
    </w:lvl>
    <w:lvl w:ilvl="1" w:tplc="040C0003" w:tentative="1">
      <w:start w:val="1"/>
      <w:numFmt w:val="bullet"/>
      <w:lvlText w:val="o"/>
      <w:lvlJc w:val="left"/>
      <w:pPr>
        <w:ind w:left="1949" w:hanging="360"/>
      </w:pPr>
      <w:rPr>
        <w:rFonts w:ascii="Courier New" w:hAnsi="Courier New" w:cs="Courier New" w:hint="default"/>
      </w:rPr>
    </w:lvl>
    <w:lvl w:ilvl="2" w:tplc="040C0005" w:tentative="1">
      <w:start w:val="1"/>
      <w:numFmt w:val="bullet"/>
      <w:lvlText w:val=""/>
      <w:lvlJc w:val="left"/>
      <w:pPr>
        <w:ind w:left="2669" w:hanging="360"/>
      </w:pPr>
      <w:rPr>
        <w:rFonts w:ascii="Wingdings" w:hAnsi="Wingdings" w:hint="default"/>
      </w:rPr>
    </w:lvl>
    <w:lvl w:ilvl="3" w:tplc="040C0001" w:tentative="1">
      <w:start w:val="1"/>
      <w:numFmt w:val="bullet"/>
      <w:lvlText w:val=""/>
      <w:lvlJc w:val="left"/>
      <w:pPr>
        <w:ind w:left="3389" w:hanging="360"/>
      </w:pPr>
      <w:rPr>
        <w:rFonts w:ascii="Symbol" w:hAnsi="Symbol" w:hint="default"/>
      </w:rPr>
    </w:lvl>
    <w:lvl w:ilvl="4" w:tplc="040C0003" w:tentative="1">
      <w:start w:val="1"/>
      <w:numFmt w:val="bullet"/>
      <w:lvlText w:val="o"/>
      <w:lvlJc w:val="left"/>
      <w:pPr>
        <w:ind w:left="4109" w:hanging="360"/>
      </w:pPr>
      <w:rPr>
        <w:rFonts w:ascii="Courier New" w:hAnsi="Courier New" w:cs="Courier New" w:hint="default"/>
      </w:rPr>
    </w:lvl>
    <w:lvl w:ilvl="5" w:tplc="040C0005" w:tentative="1">
      <w:start w:val="1"/>
      <w:numFmt w:val="bullet"/>
      <w:lvlText w:val=""/>
      <w:lvlJc w:val="left"/>
      <w:pPr>
        <w:ind w:left="4829" w:hanging="360"/>
      </w:pPr>
      <w:rPr>
        <w:rFonts w:ascii="Wingdings" w:hAnsi="Wingdings" w:hint="default"/>
      </w:rPr>
    </w:lvl>
    <w:lvl w:ilvl="6" w:tplc="040C0001" w:tentative="1">
      <w:start w:val="1"/>
      <w:numFmt w:val="bullet"/>
      <w:lvlText w:val=""/>
      <w:lvlJc w:val="left"/>
      <w:pPr>
        <w:ind w:left="5549" w:hanging="360"/>
      </w:pPr>
      <w:rPr>
        <w:rFonts w:ascii="Symbol" w:hAnsi="Symbol" w:hint="default"/>
      </w:rPr>
    </w:lvl>
    <w:lvl w:ilvl="7" w:tplc="040C0003" w:tentative="1">
      <w:start w:val="1"/>
      <w:numFmt w:val="bullet"/>
      <w:lvlText w:val="o"/>
      <w:lvlJc w:val="left"/>
      <w:pPr>
        <w:ind w:left="6269" w:hanging="360"/>
      </w:pPr>
      <w:rPr>
        <w:rFonts w:ascii="Courier New" w:hAnsi="Courier New" w:cs="Courier New" w:hint="default"/>
      </w:rPr>
    </w:lvl>
    <w:lvl w:ilvl="8" w:tplc="040C0005" w:tentative="1">
      <w:start w:val="1"/>
      <w:numFmt w:val="bullet"/>
      <w:lvlText w:val=""/>
      <w:lvlJc w:val="left"/>
      <w:pPr>
        <w:ind w:left="6989" w:hanging="360"/>
      </w:pPr>
      <w:rPr>
        <w:rFonts w:ascii="Wingdings" w:hAnsi="Wingdings" w:hint="default"/>
      </w:rPr>
    </w:lvl>
  </w:abstractNum>
  <w:abstractNum w:abstractNumId="3">
    <w:nsid w:val="7EE26866"/>
    <w:multiLevelType w:val="hybridMultilevel"/>
    <w:tmpl w:val="3E02669A"/>
    <w:lvl w:ilvl="0" w:tplc="040C000D">
      <w:start w:val="1"/>
      <w:numFmt w:val="bullet"/>
      <w:lvlText w:val=""/>
      <w:lvlJc w:val="left"/>
      <w:pPr>
        <w:ind w:left="869" w:hanging="360"/>
      </w:pPr>
      <w:rPr>
        <w:rFonts w:ascii="Wingdings" w:hAnsi="Wingdings" w:hint="default"/>
        <w:b/>
        <w:bCs w:val="0"/>
      </w:rPr>
    </w:lvl>
    <w:lvl w:ilvl="1" w:tplc="04090003" w:tentative="1">
      <w:start w:val="1"/>
      <w:numFmt w:val="bullet"/>
      <w:lvlText w:val="o"/>
      <w:lvlJc w:val="left"/>
      <w:pPr>
        <w:ind w:left="1589" w:hanging="360"/>
      </w:pPr>
      <w:rPr>
        <w:rFonts w:ascii="Courier New" w:hAnsi="Courier New" w:cs="Courier New" w:hint="default"/>
      </w:rPr>
    </w:lvl>
    <w:lvl w:ilvl="2" w:tplc="04090005" w:tentative="1">
      <w:start w:val="1"/>
      <w:numFmt w:val="bullet"/>
      <w:lvlText w:val=""/>
      <w:lvlJc w:val="left"/>
      <w:pPr>
        <w:ind w:left="2309" w:hanging="360"/>
      </w:pPr>
      <w:rPr>
        <w:rFonts w:ascii="Wingdings" w:hAnsi="Wingdings" w:hint="default"/>
      </w:rPr>
    </w:lvl>
    <w:lvl w:ilvl="3" w:tplc="04090001" w:tentative="1">
      <w:start w:val="1"/>
      <w:numFmt w:val="bullet"/>
      <w:lvlText w:val=""/>
      <w:lvlJc w:val="left"/>
      <w:pPr>
        <w:ind w:left="3029" w:hanging="360"/>
      </w:pPr>
      <w:rPr>
        <w:rFonts w:ascii="Symbol" w:hAnsi="Symbol" w:hint="default"/>
      </w:rPr>
    </w:lvl>
    <w:lvl w:ilvl="4" w:tplc="04090003" w:tentative="1">
      <w:start w:val="1"/>
      <w:numFmt w:val="bullet"/>
      <w:lvlText w:val="o"/>
      <w:lvlJc w:val="left"/>
      <w:pPr>
        <w:ind w:left="3749" w:hanging="360"/>
      </w:pPr>
      <w:rPr>
        <w:rFonts w:ascii="Courier New" w:hAnsi="Courier New" w:cs="Courier New" w:hint="default"/>
      </w:rPr>
    </w:lvl>
    <w:lvl w:ilvl="5" w:tplc="04090005" w:tentative="1">
      <w:start w:val="1"/>
      <w:numFmt w:val="bullet"/>
      <w:lvlText w:val=""/>
      <w:lvlJc w:val="left"/>
      <w:pPr>
        <w:ind w:left="4469" w:hanging="360"/>
      </w:pPr>
      <w:rPr>
        <w:rFonts w:ascii="Wingdings" w:hAnsi="Wingdings" w:hint="default"/>
      </w:rPr>
    </w:lvl>
    <w:lvl w:ilvl="6" w:tplc="04090001" w:tentative="1">
      <w:start w:val="1"/>
      <w:numFmt w:val="bullet"/>
      <w:lvlText w:val=""/>
      <w:lvlJc w:val="left"/>
      <w:pPr>
        <w:ind w:left="5189" w:hanging="360"/>
      </w:pPr>
      <w:rPr>
        <w:rFonts w:ascii="Symbol" w:hAnsi="Symbol" w:hint="default"/>
      </w:rPr>
    </w:lvl>
    <w:lvl w:ilvl="7" w:tplc="04090003" w:tentative="1">
      <w:start w:val="1"/>
      <w:numFmt w:val="bullet"/>
      <w:lvlText w:val="o"/>
      <w:lvlJc w:val="left"/>
      <w:pPr>
        <w:ind w:left="5909" w:hanging="360"/>
      </w:pPr>
      <w:rPr>
        <w:rFonts w:ascii="Courier New" w:hAnsi="Courier New" w:cs="Courier New" w:hint="default"/>
      </w:rPr>
    </w:lvl>
    <w:lvl w:ilvl="8" w:tplc="04090005" w:tentative="1">
      <w:start w:val="1"/>
      <w:numFmt w:val="bullet"/>
      <w:lvlText w:val=""/>
      <w:lvlJc w:val="left"/>
      <w:pPr>
        <w:ind w:left="6629"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defaultTabStop w:val="720"/>
  <w:hyphenationZone w:val="425"/>
  <w:characterSpacingControl w:val="doNotCompress"/>
  <w:savePreviewPicture/>
  <w:footnotePr>
    <w:footnote w:id="0"/>
    <w:footnote w:id="1"/>
  </w:footnotePr>
  <w:endnotePr>
    <w:endnote w:id="0"/>
    <w:endnote w:id="1"/>
  </w:endnotePr>
  <w:compat>
    <w:useFELayout/>
  </w:compat>
  <w:rsids>
    <w:rsidRoot w:val="00F575F3"/>
    <w:rsid w:val="00024A58"/>
    <w:rsid w:val="0004677D"/>
    <w:rsid w:val="00173B39"/>
    <w:rsid w:val="0017429D"/>
    <w:rsid w:val="001C1CCE"/>
    <w:rsid w:val="002A6940"/>
    <w:rsid w:val="002B0BC5"/>
    <w:rsid w:val="002C2FBA"/>
    <w:rsid w:val="002E3168"/>
    <w:rsid w:val="00301501"/>
    <w:rsid w:val="00442E4B"/>
    <w:rsid w:val="004A2C6F"/>
    <w:rsid w:val="00504DE6"/>
    <w:rsid w:val="00525519"/>
    <w:rsid w:val="00561A69"/>
    <w:rsid w:val="00566BFB"/>
    <w:rsid w:val="005C6DE2"/>
    <w:rsid w:val="00603171"/>
    <w:rsid w:val="00625FD4"/>
    <w:rsid w:val="006861CD"/>
    <w:rsid w:val="006C1CD2"/>
    <w:rsid w:val="00703EA9"/>
    <w:rsid w:val="007868DC"/>
    <w:rsid w:val="007B660D"/>
    <w:rsid w:val="0085038C"/>
    <w:rsid w:val="00890022"/>
    <w:rsid w:val="008C33F6"/>
    <w:rsid w:val="00900C88"/>
    <w:rsid w:val="00941C40"/>
    <w:rsid w:val="0095317D"/>
    <w:rsid w:val="009D472D"/>
    <w:rsid w:val="00A24AD9"/>
    <w:rsid w:val="00A53042"/>
    <w:rsid w:val="00AA5D71"/>
    <w:rsid w:val="00B256D6"/>
    <w:rsid w:val="00BA3B11"/>
    <w:rsid w:val="00BB737C"/>
    <w:rsid w:val="00BD1524"/>
    <w:rsid w:val="00C22D70"/>
    <w:rsid w:val="00C35E9E"/>
    <w:rsid w:val="00C36200"/>
    <w:rsid w:val="00C65CD7"/>
    <w:rsid w:val="00CA4C82"/>
    <w:rsid w:val="00CC0124"/>
    <w:rsid w:val="00D34954"/>
    <w:rsid w:val="00D37282"/>
    <w:rsid w:val="00DB1C21"/>
    <w:rsid w:val="00EA25E7"/>
    <w:rsid w:val="00ED08CD"/>
    <w:rsid w:val="00EF6F4B"/>
    <w:rsid w:val="00F575F3"/>
    <w:rsid w:val="00FA356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7282"/>
    <w:pPr>
      <w:bidi/>
    </w:pPr>
  </w:style>
  <w:style w:type="paragraph" w:styleId="Titre3">
    <w:name w:val="heading 3"/>
    <w:basedOn w:val="Normal"/>
    <w:link w:val="Titre3Car"/>
    <w:uiPriority w:val="9"/>
    <w:qFormat/>
    <w:rsid w:val="00F575F3"/>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575F3"/>
    <w:rPr>
      <w:rFonts w:ascii="Times New Roman" w:eastAsia="Times New Roman" w:hAnsi="Times New Roman" w:cs="Times New Roman"/>
      <w:b/>
      <w:bCs/>
      <w:sz w:val="27"/>
      <w:szCs w:val="27"/>
    </w:rPr>
  </w:style>
  <w:style w:type="paragraph" w:styleId="Paragraphedeliste">
    <w:name w:val="List Paragraph"/>
    <w:basedOn w:val="Normal"/>
    <w:link w:val="ParagraphedelisteCar"/>
    <w:uiPriority w:val="34"/>
    <w:qFormat/>
    <w:rsid w:val="00F575F3"/>
    <w:pPr>
      <w:bidi w:val="0"/>
      <w:ind w:left="720"/>
      <w:contextualSpacing/>
    </w:pPr>
    <w:rPr>
      <w:lang w:val="fr-FR" w:eastAsia="fr-FR"/>
    </w:rPr>
  </w:style>
  <w:style w:type="character" w:customStyle="1" w:styleId="ParagraphedelisteCar">
    <w:name w:val="Paragraphe de liste Car"/>
    <w:link w:val="Paragraphedeliste"/>
    <w:uiPriority w:val="34"/>
    <w:locked/>
    <w:rsid w:val="00F575F3"/>
    <w:rPr>
      <w:lang w:val="fr-FR" w:eastAsia="fr-FR"/>
    </w:rPr>
  </w:style>
  <w:style w:type="character" w:customStyle="1" w:styleId="markedcontent">
    <w:name w:val="markedcontent"/>
    <w:basedOn w:val="Policepardfaut"/>
    <w:rsid w:val="00F575F3"/>
  </w:style>
  <w:style w:type="character" w:styleId="Lienhypertexte">
    <w:name w:val="Hyperlink"/>
    <w:basedOn w:val="Policepardfaut"/>
    <w:uiPriority w:val="99"/>
    <w:semiHidden/>
    <w:unhideWhenUsed/>
    <w:rsid w:val="00F575F3"/>
    <w:rPr>
      <w:color w:val="0000FF"/>
      <w:u w:val="single"/>
    </w:rPr>
  </w:style>
  <w:style w:type="paragraph" w:styleId="En-tte">
    <w:name w:val="header"/>
    <w:basedOn w:val="Normal"/>
    <w:link w:val="En-tteCar"/>
    <w:uiPriority w:val="99"/>
    <w:semiHidden/>
    <w:unhideWhenUsed/>
    <w:rsid w:val="00F575F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F575F3"/>
  </w:style>
  <w:style w:type="paragraph" w:styleId="Pieddepage">
    <w:name w:val="footer"/>
    <w:basedOn w:val="Normal"/>
    <w:link w:val="PieddepageCar"/>
    <w:uiPriority w:val="99"/>
    <w:unhideWhenUsed/>
    <w:rsid w:val="00F575F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575F3"/>
  </w:style>
  <w:style w:type="paragraph" w:styleId="Sansinterligne">
    <w:name w:val="No Spacing"/>
    <w:link w:val="SansinterligneCar"/>
    <w:uiPriority w:val="1"/>
    <w:qFormat/>
    <w:rsid w:val="00F575F3"/>
    <w:pPr>
      <w:spacing w:after="0" w:line="240" w:lineRule="auto"/>
    </w:pPr>
    <w:rPr>
      <w:lang w:val="fr-FR"/>
    </w:rPr>
  </w:style>
  <w:style w:type="character" w:customStyle="1" w:styleId="SansinterligneCar">
    <w:name w:val="Sans interligne Car"/>
    <w:basedOn w:val="Policepardfaut"/>
    <w:link w:val="Sansinterligne"/>
    <w:uiPriority w:val="1"/>
    <w:rsid w:val="00F575F3"/>
    <w:rPr>
      <w:lang w:val="fr-FR"/>
    </w:rPr>
  </w:style>
  <w:style w:type="character" w:styleId="Rfrenceintense">
    <w:name w:val="Intense Reference"/>
    <w:basedOn w:val="Policepardfaut"/>
    <w:uiPriority w:val="32"/>
    <w:qFormat/>
    <w:rsid w:val="00B256D6"/>
    <w:rPr>
      <w:b/>
      <w:bCs/>
      <w:smallCaps/>
      <w:color w:val="C0504D" w:themeColor="accent2"/>
      <w:spacing w:val="5"/>
      <w:u w:val="single"/>
    </w:rPr>
  </w:style>
  <w:style w:type="character" w:customStyle="1" w:styleId="q4iawc">
    <w:name w:val="q4iawc"/>
    <w:basedOn w:val="Policepardfaut"/>
    <w:rsid w:val="00CA4C82"/>
  </w:style>
  <w:style w:type="character" w:customStyle="1" w:styleId="viiyi">
    <w:name w:val="viiyi"/>
    <w:basedOn w:val="Policepardfaut"/>
    <w:rsid w:val="00CA4C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7282"/>
    <w:pPr>
      <w:bidi/>
    </w:pPr>
  </w:style>
  <w:style w:type="paragraph" w:styleId="Titre3">
    <w:name w:val="heading 3"/>
    <w:basedOn w:val="Normal"/>
    <w:link w:val="Titre3Car"/>
    <w:uiPriority w:val="9"/>
    <w:qFormat/>
    <w:rsid w:val="00F575F3"/>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575F3"/>
    <w:rPr>
      <w:rFonts w:ascii="Times New Roman" w:eastAsia="Times New Roman" w:hAnsi="Times New Roman" w:cs="Times New Roman"/>
      <w:b/>
      <w:bCs/>
      <w:sz w:val="27"/>
      <w:szCs w:val="27"/>
    </w:rPr>
  </w:style>
  <w:style w:type="paragraph" w:styleId="Paragraphedeliste">
    <w:name w:val="List Paragraph"/>
    <w:basedOn w:val="Normal"/>
    <w:link w:val="ParagraphedelisteCar"/>
    <w:uiPriority w:val="34"/>
    <w:qFormat/>
    <w:rsid w:val="00F575F3"/>
    <w:pPr>
      <w:bidi w:val="0"/>
      <w:ind w:left="720"/>
      <w:contextualSpacing/>
    </w:pPr>
    <w:rPr>
      <w:lang w:val="fr-FR" w:eastAsia="fr-FR"/>
    </w:rPr>
  </w:style>
  <w:style w:type="character" w:customStyle="1" w:styleId="ParagraphedelisteCar">
    <w:name w:val="Paragraphe de liste Car"/>
    <w:link w:val="Paragraphedeliste"/>
    <w:uiPriority w:val="34"/>
    <w:locked/>
    <w:rsid w:val="00F575F3"/>
    <w:rPr>
      <w:lang w:val="fr-FR" w:eastAsia="fr-FR"/>
    </w:rPr>
  </w:style>
  <w:style w:type="character" w:customStyle="1" w:styleId="markedcontent">
    <w:name w:val="markedcontent"/>
    <w:basedOn w:val="Policepardfaut"/>
    <w:rsid w:val="00F575F3"/>
  </w:style>
  <w:style w:type="character" w:styleId="Lienhypertexte">
    <w:name w:val="Hyperlink"/>
    <w:basedOn w:val="Policepardfaut"/>
    <w:uiPriority w:val="99"/>
    <w:semiHidden/>
    <w:unhideWhenUsed/>
    <w:rsid w:val="00F575F3"/>
    <w:rPr>
      <w:color w:val="0000FF"/>
      <w:u w:val="single"/>
    </w:rPr>
  </w:style>
  <w:style w:type="paragraph" w:styleId="En-tte">
    <w:name w:val="header"/>
    <w:basedOn w:val="Normal"/>
    <w:link w:val="En-tteCar"/>
    <w:uiPriority w:val="99"/>
    <w:semiHidden/>
    <w:unhideWhenUsed/>
    <w:rsid w:val="00F575F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F575F3"/>
  </w:style>
  <w:style w:type="paragraph" w:styleId="Pieddepage">
    <w:name w:val="footer"/>
    <w:basedOn w:val="Normal"/>
    <w:link w:val="PieddepageCar"/>
    <w:uiPriority w:val="99"/>
    <w:unhideWhenUsed/>
    <w:rsid w:val="00F575F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575F3"/>
  </w:style>
  <w:style w:type="paragraph" w:styleId="Sansinterligne">
    <w:name w:val="No Spacing"/>
    <w:link w:val="SansinterligneCar"/>
    <w:uiPriority w:val="1"/>
    <w:qFormat/>
    <w:rsid w:val="00F575F3"/>
    <w:pPr>
      <w:spacing w:after="0" w:line="240" w:lineRule="auto"/>
    </w:pPr>
    <w:rPr>
      <w:lang w:val="fr-FR"/>
    </w:rPr>
  </w:style>
  <w:style w:type="character" w:customStyle="1" w:styleId="SansinterligneCar">
    <w:name w:val="Sans interligne Car"/>
    <w:basedOn w:val="Policepardfaut"/>
    <w:link w:val="Sansinterligne"/>
    <w:uiPriority w:val="1"/>
    <w:rsid w:val="00F575F3"/>
    <w:rPr>
      <w:lang w:val="fr-FR"/>
    </w:rPr>
  </w:style>
  <w:style w:type="character" w:styleId="Rfrenceintense">
    <w:name w:val="Intense Reference"/>
    <w:basedOn w:val="Policepardfaut"/>
    <w:uiPriority w:val="32"/>
    <w:qFormat/>
    <w:rsid w:val="00B256D6"/>
    <w:rPr>
      <w:b/>
      <w:bCs/>
      <w:smallCaps/>
      <w:color w:val="C0504D" w:themeColor="accent2"/>
      <w:spacing w:val="5"/>
      <w:u w:val="single"/>
    </w:rPr>
  </w:style>
  <w:style w:type="character" w:customStyle="1" w:styleId="q4iawc">
    <w:name w:val="q4iawc"/>
    <w:basedOn w:val="Policepardfaut"/>
    <w:rsid w:val="00CA4C82"/>
  </w:style>
  <w:style w:type="character" w:customStyle="1" w:styleId="viiyi">
    <w:name w:val="viiyi"/>
    <w:basedOn w:val="Policepardfaut"/>
    <w:rsid w:val="00CA4C8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333F25-875F-4C63-BB7D-C34869DCA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416</Words>
  <Characters>2372</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pcs</dc:creator>
  <cp:lastModifiedBy>pcs</cp:lastModifiedBy>
  <cp:revision>11</cp:revision>
  <dcterms:created xsi:type="dcterms:W3CDTF">2022-06-19T21:59:00Z</dcterms:created>
  <dcterms:modified xsi:type="dcterms:W3CDTF">2022-12-09T05:58:00Z</dcterms:modified>
</cp:coreProperties>
</file>