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C04912" w14:textId="77777777" w:rsidR="008756D0" w:rsidRDefault="008756D0" w:rsidP="008756D0">
      <w:pPr>
        <w:pStyle w:val="1"/>
        <w:bidi/>
        <w:jc w:val="center"/>
        <w:rPr>
          <w:rFonts w:ascii="Simplified Arabic" w:hAnsi="Simplified Arabic" w:cs="DecoType Naskh Variants" w:hint="default"/>
          <w:bCs/>
          <w:sz w:val="56"/>
          <w:szCs w:val="56"/>
          <w:rtl/>
        </w:rPr>
      </w:pPr>
      <w:bookmarkStart w:id="0" w:name="_Toc108454001"/>
      <w:bookmarkStart w:id="1" w:name="_Hlk108471935"/>
    </w:p>
    <w:p w14:paraId="58869182" w14:textId="73EF709E" w:rsidR="008756D0" w:rsidRPr="001F30D8" w:rsidRDefault="008756D0" w:rsidP="008756D0">
      <w:pPr>
        <w:pStyle w:val="1"/>
        <w:bidi/>
        <w:jc w:val="center"/>
        <w:rPr>
          <w:rFonts w:ascii="Simplified Arabic" w:hAnsi="Simplified Arabic" w:cs="DecoType Naskh Variants" w:hint="default"/>
          <w:b w:val="0"/>
          <w:bCs/>
          <w:sz w:val="56"/>
          <w:szCs w:val="56"/>
          <w:rtl/>
        </w:rPr>
      </w:pPr>
      <w:r w:rsidRPr="001F30D8">
        <w:rPr>
          <w:rFonts w:ascii="Simplified Arabic" w:hAnsi="Simplified Arabic" w:cs="DecoType Naskh Variants" w:hint="cs"/>
          <w:bCs/>
          <w:sz w:val="56"/>
          <w:szCs w:val="56"/>
          <w:rtl/>
        </w:rPr>
        <w:t>المل</w:t>
      </w:r>
      <w:r>
        <w:rPr>
          <w:rFonts w:ascii="Simplified Arabic" w:hAnsi="Simplified Arabic" w:cs="DecoType Naskh Variants" w:hint="cs"/>
          <w:bCs/>
          <w:sz w:val="56"/>
          <w:szCs w:val="56"/>
          <w:rtl/>
        </w:rPr>
        <w:t>ـ</w:t>
      </w:r>
      <w:r w:rsidRPr="001F30D8">
        <w:rPr>
          <w:rFonts w:ascii="Simplified Arabic" w:hAnsi="Simplified Arabic" w:cs="DecoType Naskh Variants" w:hint="cs"/>
          <w:bCs/>
          <w:sz w:val="56"/>
          <w:szCs w:val="56"/>
          <w:rtl/>
        </w:rPr>
        <w:t>خ</w:t>
      </w:r>
      <w:r>
        <w:rPr>
          <w:rFonts w:ascii="Simplified Arabic" w:hAnsi="Simplified Arabic" w:cs="DecoType Naskh Variants" w:hint="cs"/>
          <w:bCs/>
          <w:sz w:val="56"/>
          <w:szCs w:val="56"/>
          <w:rtl/>
        </w:rPr>
        <w:t>ــــ</w:t>
      </w:r>
      <w:r w:rsidRPr="001F30D8">
        <w:rPr>
          <w:rFonts w:ascii="Simplified Arabic" w:hAnsi="Simplified Arabic" w:cs="DecoType Naskh Variants" w:hint="cs"/>
          <w:bCs/>
          <w:sz w:val="56"/>
          <w:szCs w:val="56"/>
          <w:rtl/>
        </w:rPr>
        <w:t>ص:</w:t>
      </w:r>
      <w:bookmarkEnd w:id="0"/>
    </w:p>
    <w:p w14:paraId="3D891D44" w14:textId="77777777" w:rsidR="008756D0" w:rsidRPr="00ED67B0" w:rsidRDefault="008756D0" w:rsidP="008756D0">
      <w:pPr>
        <w:pStyle w:val="a3"/>
        <w:rPr>
          <w:rStyle w:val="jlqj4b"/>
          <w:sz w:val="32"/>
          <w:szCs w:val="32"/>
          <w:rtl/>
        </w:rPr>
      </w:pPr>
      <w:r w:rsidRPr="00ED67B0">
        <w:rPr>
          <w:rFonts w:hint="cs"/>
          <w:sz w:val="28"/>
          <w:szCs w:val="32"/>
          <w:rtl/>
        </w:rPr>
        <w:t xml:space="preserve">هدفت هذه الدراسة إلى تحديد متطلبات إصدار وتطبيق الصكوك الإسلامية في الاقتصاد الجزائري للاستفادة من مختلف مزايا هذه الأدوات المالية المبتكرة، وعلى رأس تلك المزايا قدرتها العالية على جذب المدخرات طويلة الأجل وتوجيهها نحو مشاريع استثمارية حقيقية، وذلك بالاستعانة بالتجربتين الماليزية والسعودية الرائدتين في مجال </w:t>
      </w:r>
      <w:r w:rsidRPr="00ED67B0">
        <w:rPr>
          <w:rStyle w:val="jlqj4b"/>
          <w:rFonts w:hint="cs"/>
          <w:sz w:val="32"/>
          <w:szCs w:val="32"/>
          <w:rtl/>
        </w:rPr>
        <w:t>صناعة الصكوك الإسلامية.</w:t>
      </w:r>
    </w:p>
    <w:p w14:paraId="503488E7" w14:textId="77777777" w:rsidR="008756D0" w:rsidRPr="00ED67B0" w:rsidRDefault="008756D0" w:rsidP="008756D0">
      <w:pPr>
        <w:pStyle w:val="a3"/>
        <w:rPr>
          <w:sz w:val="28"/>
          <w:szCs w:val="32"/>
        </w:rPr>
      </w:pPr>
      <w:r w:rsidRPr="00ED67B0">
        <w:rPr>
          <w:rFonts w:hint="cs"/>
          <w:sz w:val="28"/>
          <w:szCs w:val="32"/>
          <w:rtl/>
          <w:lang w:bidi="ar-DZ"/>
        </w:rPr>
        <w:t>ومن أجل بلوغ الهدف من هذه الدراسة؛ تمت الاستعانة بالمنهج</w:t>
      </w:r>
      <w:r w:rsidRPr="00ED67B0">
        <w:rPr>
          <w:sz w:val="28"/>
          <w:szCs w:val="32"/>
          <w:rtl/>
          <w:lang w:bidi="ar-DZ"/>
        </w:rPr>
        <w:t xml:space="preserve"> </w:t>
      </w:r>
      <w:r w:rsidRPr="00ED67B0">
        <w:rPr>
          <w:rFonts w:hint="cs"/>
          <w:sz w:val="28"/>
          <w:szCs w:val="32"/>
          <w:rtl/>
          <w:lang w:bidi="ar-DZ"/>
        </w:rPr>
        <w:t>الوصفي</w:t>
      </w:r>
      <w:r w:rsidRPr="00ED67B0">
        <w:rPr>
          <w:sz w:val="28"/>
          <w:szCs w:val="32"/>
          <w:rtl/>
          <w:lang w:bidi="ar-DZ"/>
        </w:rPr>
        <w:t xml:space="preserve"> </w:t>
      </w:r>
      <w:r w:rsidRPr="00ED67B0">
        <w:rPr>
          <w:rFonts w:hint="cs"/>
          <w:sz w:val="28"/>
          <w:szCs w:val="32"/>
          <w:rtl/>
          <w:lang w:bidi="ar-DZ"/>
        </w:rPr>
        <w:t>التحليلي. وبعد معالجة موضوع الدراسة تم التوصل إلى</w:t>
      </w:r>
      <w:r w:rsidRPr="00ED67B0">
        <w:rPr>
          <w:rFonts w:hint="cs"/>
          <w:sz w:val="28"/>
          <w:szCs w:val="32"/>
          <w:rtl/>
        </w:rPr>
        <w:t xml:space="preserve"> أن </w:t>
      </w:r>
      <w:r w:rsidRPr="00ED67B0">
        <w:rPr>
          <w:rFonts w:hint="cs"/>
          <w:sz w:val="28"/>
          <w:szCs w:val="32"/>
          <w:rtl/>
          <w:lang w:bidi="ar-DZ"/>
        </w:rPr>
        <w:t xml:space="preserve">نجاح إصدار وتطبيق الصكوك الإسلامية في الاقتصاد الجزائري يتطلب </w:t>
      </w:r>
      <w:r w:rsidRPr="00ED67B0">
        <w:rPr>
          <w:rFonts w:hint="cs"/>
          <w:sz w:val="28"/>
          <w:szCs w:val="32"/>
          <w:rtl/>
        </w:rPr>
        <w:t xml:space="preserve">تهيئة بيئةٍ مناسبةٍ للعمل بهذه الأدوات المالية، ولن يتأتى ذلك إلا من خلال بذل أقصى جهد من أجل رفع </w:t>
      </w:r>
      <w:r w:rsidRPr="00ED67B0">
        <w:rPr>
          <w:rFonts w:hint="cs"/>
          <w:sz w:val="28"/>
          <w:szCs w:val="32"/>
          <w:rtl/>
          <w:lang w:bidi="ar-DZ"/>
        </w:rPr>
        <w:t xml:space="preserve">كافة العقبات </w:t>
      </w:r>
      <w:r w:rsidRPr="00ED67B0">
        <w:rPr>
          <w:rFonts w:hint="cs"/>
          <w:sz w:val="28"/>
          <w:szCs w:val="32"/>
          <w:rtl/>
        </w:rPr>
        <w:t>(ال</w:t>
      </w:r>
      <w:r w:rsidRPr="00ED67B0">
        <w:rPr>
          <w:sz w:val="28"/>
          <w:szCs w:val="32"/>
          <w:rtl/>
        </w:rPr>
        <w:t>تنظيمية</w:t>
      </w:r>
      <w:r w:rsidRPr="00ED67B0">
        <w:rPr>
          <w:rFonts w:hint="cs"/>
          <w:sz w:val="28"/>
          <w:szCs w:val="32"/>
          <w:rtl/>
        </w:rPr>
        <w:t>،</w:t>
      </w:r>
      <w:r w:rsidRPr="00ED67B0">
        <w:rPr>
          <w:sz w:val="28"/>
          <w:szCs w:val="32"/>
          <w:rtl/>
        </w:rPr>
        <w:t xml:space="preserve"> والقانونية</w:t>
      </w:r>
      <w:r w:rsidRPr="00ED67B0">
        <w:rPr>
          <w:rFonts w:hint="cs"/>
          <w:sz w:val="28"/>
          <w:szCs w:val="32"/>
          <w:rtl/>
        </w:rPr>
        <w:t xml:space="preserve">، والضريبية، والشرعية وغيرها) </w:t>
      </w:r>
      <w:r w:rsidRPr="00ED67B0">
        <w:rPr>
          <w:rFonts w:hint="cs"/>
          <w:sz w:val="28"/>
          <w:szCs w:val="32"/>
          <w:rtl/>
          <w:lang w:bidi="ar-DZ"/>
        </w:rPr>
        <w:t>التي حالت دون تطبيق هذه الأدوات المالية، والتي بينا أهمها في طيات هذه الدراسة،</w:t>
      </w:r>
      <w:r w:rsidRPr="00ED67B0">
        <w:rPr>
          <w:rFonts w:hint="cs"/>
          <w:sz w:val="28"/>
          <w:szCs w:val="32"/>
          <w:rtl/>
        </w:rPr>
        <w:t xml:space="preserve"> كما لن يتأتى إلا من خلال </w:t>
      </w:r>
      <w:r w:rsidRPr="00ED67B0">
        <w:rPr>
          <w:rFonts w:hint="cs"/>
          <w:sz w:val="28"/>
          <w:szCs w:val="32"/>
          <w:rtl/>
          <w:lang w:bidi="ar-DZ"/>
        </w:rPr>
        <w:t xml:space="preserve">توفير </w:t>
      </w:r>
      <w:r w:rsidRPr="00ED67B0">
        <w:rPr>
          <w:rFonts w:hint="cs"/>
          <w:sz w:val="28"/>
          <w:szCs w:val="32"/>
          <w:rtl/>
        </w:rPr>
        <w:t>كافة عوامل الجذب في ال</w:t>
      </w:r>
      <w:r w:rsidRPr="00ED67B0">
        <w:rPr>
          <w:rFonts w:hint="cs"/>
          <w:sz w:val="28"/>
          <w:szCs w:val="32"/>
          <w:rtl/>
          <w:lang w:bidi="ar-DZ"/>
        </w:rPr>
        <w:t>سوق الأولي والسوق الثانوي ل</w:t>
      </w:r>
      <w:r w:rsidRPr="00ED67B0">
        <w:rPr>
          <w:rFonts w:hint="cs"/>
          <w:sz w:val="28"/>
          <w:szCs w:val="32"/>
          <w:rtl/>
        </w:rPr>
        <w:t>لصكوك الإسلامية لتحفيز قاعدة متنوعة من المصدرين والمستثمرين لاختيار هذه الأدوات المالية ومن ثم ضمان توفير العمق والاتساع اللازم للسوق.</w:t>
      </w:r>
    </w:p>
    <w:p w14:paraId="0A74DF89" w14:textId="77777777" w:rsidR="008756D0" w:rsidRPr="00ED67B0" w:rsidRDefault="008756D0" w:rsidP="008756D0">
      <w:pPr>
        <w:pStyle w:val="a3"/>
        <w:rPr>
          <w:rStyle w:val="jlqj4b"/>
          <w:b/>
          <w:bCs/>
          <w:sz w:val="32"/>
          <w:szCs w:val="32"/>
          <w:rtl/>
        </w:rPr>
      </w:pPr>
      <w:r w:rsidRPr="00ED67B0">
        <w:rPr>
          <w:rStyle w:val="jlqj4b"/>
          <w:rFonts w:hint="cs"/>
          <w:b/>
          <w:bCs/>
          <w:sz w:val="32"/>
          <w:szCs w:val="32"/>
          <w:rtl/>
        </w:rPr>
        <w:t xml:space="preserve">الكلمات المفتاحية: </w:t>
      </w:r>
      <w:r w:rsidRPr="00ED67B0">
        <w:rPr>
          <w:rStyle w:val="jlqj4b"/>
          <w:rFonts w:hint="cs"/>
          <w:sz w:val="32"/>
          <w:szCs w:val="32"/>
          <w:rtl/>
        </w:rPr>
        <w:t>الصكوك الإسلامية، الاقتصاد الجزائري،</w:t>
      </w:r>
      <w:r w:rsidRPr="00ED67B0">
        <w:rPr>
          <w:rStyle w:val="jlqj4b"/>
          <w:rFonts w:hint="cs"/>
          <w:b/>
          <w:bCs/>
          <w:sz w:val="32"/>
          <w:szCs w:val="32"/>
          <w:rtl/>
        </w:rPr>
        <w:t xml:space="preserve"> </w:t>
      </w:r>
      <w:r w:rsidRPr="00ED67B0">
        <w:rPr>
          <w:rStyle w:val="jlqj4b"/>
          <w:rFonts w:hint="cs"/>
          <w:sz w:val="32"/>
          <w:szCs w:val="32"/>
          <w:rtl/>
        </w:rPr>
        <w:t>الصناعة المالية الإسلامية، التمويل، الاستثمار، الأدوات المالية</w:t>
      </w:r>
      <w:r w:rsidRPr="00ED67B0">
        <w:rPr>
          <w:rStyle w:val="jlqj4b"/>
          <w:rFonts w:hint="cs"/>
          <w:b/>
          <w:bCs/>
          <w:sz w:val="32"/>
          <w:szCs w:val="32"/>
          <w:rtl/>
        </w:rPr>
        <w:t>.</w:t>
      </w:r>
    </w:p>
    <w:bookmarkEnd w:id="1"/>
    <w:p w14:paraId="40B04789" w14:textId="77777777" w:rsidR="008756D0" w:rsidRDefault="008756D0" w:rsidP="008756D0">
      <w:pPr>
        <w:pStyle w:val="a3"/>
        <w:rPr>
          <w:rtl/>
          <w:lang w:bidi="ar-DZ"/>
        </w:rPr>
      </w:pPr>
    </w:p>
    <w:p w14:paraId="2A8E2C64" w14:textId="77777777" w:rsidR="008756D0" w:rsidRDefault="008756D0" w:rsidP="008756D0">
      <w:pPr>
        <w:rPr>
          <w:rFonts w:ascii="Simplified Arabic" w:hAnsi="Simplified Arabic" w:cs="Simplified Arabic"/>
          <w:sz w:val="96"/>
          <w:szCs w:val="96"/>
        </w:rPr>
      </w:pPr>
    </w:p>
    <w:p w14:paraId="1647AC32" w14:textId="77777777" w:rsidR="00AD78C3" w:rsidRPr="008756D0" w:rsidRDefault="00AD78C3"/>
    <w:sectPr w:rsidR="00AD78C3" w:rsidRPr="008756D0" w:rsidSect="008756D0">
      <w:pgSz w:w="12240" w:h="15840"/>
      <w:pgMar w:top="1418" w:right="1418"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80000000" w:usb2="00000008" w:usb3="00000000" w:csb0="00000041" w:csb1="00000000"/>
  </w:font>
  <w:font w:name="DecoType Naskh Variants">
    <w:panose1 w:val="02010400000000000000"/>
    <w:charset w:val="B2"/>
    <w:family w:val="auto"/>
    <w:pitch w:val="variable"/>
    <w:sig w:usb0="00002001" w:usb1="80000000" w:usb2="00000008" w:usb3="00000000" w:csb0="0000004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78C3"/>
    <w:rsid w:val="002B44B6"/>
    <w:rsid w:val="002D0B17"/>
    <w:rsid w:val="007D27F2"/>
    <w:rsid w:val="008756D0"/>
    <w:rsid w:val="00AD78C3"/>
    <w:rsid w:val="00BD2F9A"/>
    <w:rsid w:val="00EE698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A46285"/>
  <w15:chartTrackingRefBased/>
  <w15:docId w15:val="{B7B2AD8A-65A2-4028-82D7-D61B38FD71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8756D0"/>
    <w:pPr>
      <w:bidi/>
      <w:spacing w:after="200" w:line="276" w:lineRule="auto"/>
    </w:pPr>
    <w:rPr>
      <w:rFonts w:ascii="Calibri" w:eastAsia="Calibri" w:hAnsi="Calibri" w:cs="Times New Roman"/>
    </w:rPr>
  </w:style>
  <w:style w:type="paragraph" w:styleId="1">
    <w:name w:val="heading 1"/>
    <w:next w:val="a"/>
    <w:link w:val="1Char"/>
    <w:uiPriority w:val="9"/>
    <w:qFormat/>
    <w:rsid w:val="00AD78C3"/>
    <w:pPr>
      <w:spacing w:before="100" w:beforeAutospacing="1" w:after="100" w:afterAutospacing="1" w:line="276" w:lineRule="auto"/>
      <w:outlineLvl w:val="0"/>
    </w:pPr>
    <w:rPr>
      <w:rFonts w:ascii="SimSun" w:eastAsia="SimSun" w:hAnsi="SimSun" w:cs="SimSun" w:hint="eastAsia"/>
      <w:b/>
      <w:kern w:val="44"/>
      <w:sz w:val="48"/>
      <w:szCs w:val="48"/>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qFormat/>
    <w:rsid w:val="00AD78C3"/>
    <w:rPr>
      <w:rFonts w:ascii="SimSun" w:eastAsia="SimSun" w:hAnsi="SimSun" w:cs="SimSun"/>
      <w:b/>
      <w:kern w:val="44"/>
      <w:sz w:val="48"/>
      <w:szCs w:val="48"/>
      <w:lang w:eastAsia="zh-CN"/>
    </w:rPr>
  </w:style>
  <w:style w:type="character" w:customStyle="1" w:styleId="jlqj4b">
    <w:name w:val="jlqj4b"/>
    <w:basedOn w:val="a0"/>
    <w:rsid w:val="00AD78C3"/>
  </w:style>
  <w:style w:type="paragraph" w:customStyle="1" w:styleId="a3">
    <w:name w:val="فقرات"/>
    <w:basedOn w:val="a"/>
    <w:link w:val="Char"/>
    <w:qFormat/>
    <w:rsid w:val="00AD78C3"/>
    <w:pPr>
      <w:spacing w:before="120" w:after="120" w:line="240" w:lineRule="atLeast"/>
      <w:ind w:firstLine="720"/>
      <w:jc w:val="both"/>
    </w:pPr>
    <w:rPr>
      <w:rFonts w:ascii="Times New Roman" w:hAnsi="Times New Roman" w:cs="Traditional Arabic"/>
      <w:sz w:val="24"/>
      <w:szCs w:val="28"/>
    </w:rPr>
  </w:style>
  <w:style w:type="character" w:customStyle="1" w:styleId="Char">
    <w:name w:val="فقرات Char"/>
    <w:basedOn w:val="a0"/>
    <w:link w:val="a3"/>
    <w:rsid w:val="00AD78C3"/>
    <w:rPr>
      <w:rFonts w:ascii="Times New Roman" w:eastAsia="Calibri" w:hAnsi="Times New Roman" w:cs="Traditional Arabic"/>
      <w:sz w:val="24"/>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165</Words>
  <Characters>941</Characters>
  <Application>Microsoft Office Word</Application>
  <DocSecurity>0</DocSecurity>
  <Lines>7</Lines>
  <Paragraphs>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habibar habibar</dc:creator>
  <cp:keywords/>
  <dc:description/>
  <cp:lastModifiedBy>habibar habibar</cp:lastModifiedBy>
  <cp:revision>6</cp:revision>
  <dcterms:created xsi:type="dcterms:W3CDTF">2022-07-11T21:45:00Z</dcterms:created>
  <dcterms:modified xsi:type="dcterms:W3CDTF">2022-07-12T23:22:00Z</dcterms:modified>
</cp:coreProperties>
</file>