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6DFB" w:rsidRPr="00AD038E" w:rsidRDefault="00D66DFB" w:rsidP="00D66DFB">
      <w:pPr>
        <w:tabs>
          <w:tab w:val="left" w:pos="1426"/>
        </w:tabs>
        <w:spacing w:after="60" w:line="240" w:lineRule="auto"/>
        <w:jc w:val="center"/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</w:pPr>
      <w:r w:rsidRPr="00AD038E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>République Algérienne Démocratique Et Populaire</w:t>
      </w:r>
    </w:p>
    <w:p w:rsidR="00D66DFB" w:rsidRPr="00AD038E" w:rsidRDefault="00D66DFB" w:rsidP="00D66DFB">
      <w:pPr>
        <w:tabs>
          <w:tab w:val="left" w:pos="1426"/>
        </w:tabs>
        <w:spacing w:after="60" w:line="240" w:lineRule="auto"/>
        <w:jc w:val="center"/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</w:pPr>
      <w:r w:rsidRPr="00AD038E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>Ministère de l’enseignement Supérieur et de la recherche Scientifique</w:t>
      </w:r>
    </w:p>
    <w:p w:rsidR="00D66DFB" w:rsidRPr="00AD038E" w:rsidRDefault="00D66DFB" w:rsidP="00D66DFB">
      <w:pPr>
        <w:tabs>
          <w:tab w:val="left" w:pos="1426"/>
        </w:tabs>
        <w:spacing w:after="60" w:line="240" w:lineRule="auto"/>
        <w:jc w:val="center"/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</w:pPr>
      <w:r w:rsidRPr="00AD038E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>Université Larbi Ben M’hidi-Oum Bouaghi</w:t>
      </w:r>
    </w:p>
    <w:p w:rsidR="00D66DFB" w:rsidRPr="00AD038E" w:rsidRDefault="00D66DFB" w:rsidP="00D66DFB">
      <w:pPr>
        <w:tabs>
          <w:tab w:val="left" w:pos="1426"/>
        </w:tabs>
        <w:spacing w:after="60" w:line="240" w:lineRule="auto"/>
        <w:jc w:val="center"/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</w:pPr>
      <w:r w:rsidRPr="00AD038E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>Faculté des Sciences et des Sciences Appliquées</w:t>
      </w:r>
    </w:p>
    <w:p w:rsidR="00D66DFB" w:rsidRPr="00AD038E" w:rsidRDefault="00D66DFB" w:rsidP="00D66DFB">
      <w:pPr>
        <w:tabs>
          <w:tab w:val="left" w:pos="1426"/>
        </w:tabs>
        <w:spacing w:after="60" w:line="240" w:lineRule="auto"/>
        <w:jc w:val="center"/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</w:pPr>
      <w:r w:rsidRPr="00AD038E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>Département de Génie Electrique</w:t>
      </w:r>
    </w:p>
    <w:p w:rsidR="00D66DFB" w:rsidRPr="00AD038E" w:rsidRDefault="00D66DFB" w:rsidP="00D66DFB">
      <w:pPr>
        <w:tabs>
          <w:tab w:val="left" w:pos="1426"/>
        </w:tabs>
        <w:spacing w:after="60" w:line="240" w:lineRule="auto"/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</w:pPr>
      <w:r w:rsidRPr="00070E0F">
        <w:rPr>
          <w:rFonts w:asciiTheme="majorBidi" w:hAnsiTheme="majorBidi" w:cstheme="majorBidi"/>
          <w:b/>
          <w:bCs/>
          <w:sz w:val="27"/>
          <w:szCs w:val="27"/>
        </w:rPr>
        <w:t xml:space="preserve">Spécialité : </w:t>
      </w:r>
      <w:r w:rsidRPr="00AD038E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>Instrumentation</w:t>
      </w:r>
    </w:p>
    <w:p w:rsidR="00D66DFB" w:rsidRPr="00F45E5A" w:rsidRDefault="00D66DFB" w:rsidP="00D66DFB">
      <w:pPr>
        <w:spacing w:after="60" w:line="240" w:lineRule="auto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Theme="majorBidi" w:hAnsiTheme="majorBidi" w:cstheme="majorBidi"/>
          <w:b/>
          <w:bCs/>
          <w:sz w:val="27"/>
          <w:szCs w:val="27"/>
        </w:rPr>
        <w:t>C</w:t>
      </w:r>
      <w:r w:rsidRPr="00F45E5A">
        <w:rPr>
          <w:rFonts w:asciiTheme="majorBidi" w:hAnsiTheme="majorBidi" w:cstheme="majorBidi"/>
          <w:b/>
          <w:bCs/>
          <w:sz w:val="27"/>
          <w:szCs w:val="27"/>
        </w:rPr>
        <w:t xml:space="preserve">andidat: </w:t>
      </w:r>
      <w:r w:rsidRPr="00AD038E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>Seddik BOUABIDA</w:t>
      </w:r>
    </w:p>
    <w:p w:rsidR="00D66DFB" w:rsidRDefault="00D66DFB" w:rsidP="00D66DFB">
      <w:pPr>
        <w:tabs>
          <w:tab w:val="left" w:pos="1426"/>
        </w:tabs>
        <w:spacing w:after="60" w:line="240" w:lineRule="auto"/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</w:pPr>
      <w:r w:rsidRPr="00AD038E">
        <w:rPr>
          <w:rFonts w:asciiTheme="majorBidi" w:hAnsiTheme="majorBidi" w:cstheme="majorBidi"/>
          <w:b/>
          <w:bCs/>
          <w:sz w:val="27"/>
          <w:szCs w:val="27"/>
        </w:rPr>
        <w:t>Titre de la Thése:</w:t>
      </w:r>
      <w:r>
        <w:rPr>
          <w:sz w:val="28"/>
          <w:szCs w:val="28"/>
        </w:rPr>
        <w:t xml:space="preserve"> </w:t>
      </w:r>
      <w:r w:rsidRPr="00AD038E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>Synthèse des couches minces d’oxydes semi-conducteurs par voie chimique et étude de leurs caractérisations. Application sensorielle</w:t>
      </w:r>
      <w:r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>.</w:t>
      </w:r>
    </w:p>
    <w:p w:rsidR="00D66DFB" w:rsidRDefault="00D66DFB" w:rsidP="00D66DFB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F45E5A">
        <w:rPr>
          <w:rFonts w:ascii="Times New Roman" w:hAnsi="Times New Roman" w:cs="Times New Roman"/>
          <w:b/>
          <w:bCs/>
          <w:sz w:val="28"/>
          <w:szCs w:val="28"/>
        </w:rPr>
        <w:t>Résumé:</w:t>
      </w:r>
    </w:p>
    <w:p w:rsidR="00D66DFB" w:rsidRPr="00D666B2" w:rsidRDefault="00D66DFB" w:rsidP="00D66DFB">
      <w:pPr>
        <w:jc w:val="both"/>
      </w:pPr>
      <w:r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>Des nanostructures de ZnO dopé</w:t>
      </w:r>
      <w:r w:rsidRPr="004D042C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 xml:space="preserve"> Fe (FZO</w:t>
      </w:r>
      <w:r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>s</w:t>
      </w:r>
      <w:r w:rsidRPr="004D042C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>)</w:t>
      </w:r>
      <w:r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 xml:space="preserve"> </w:t>
      </w:r>
      <w:r w:rsidRPr="004D042C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>ave</w:t>
      </w:r>
      <w:r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 xml:space="preserve">c différentes concentrations de dopage </w:t>
      </w:r>
      <m:oMath>
        <m:d>
          <m:dPr>
            <m:ctrlPr>
              <w:rPr>
                <w:rFonts w:ascii="Cambria Math" w:hAnsi="Cambria Math" w:cs="Times New Roman"/>
                <w:sz w:val="24"/>
                <w:szCs w:val="24"/>
              </w:rPr>
            </m:ctrlPr>
          </m:d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0; 1; 3;5;7et 9 %.wt</m:t>
            </m:r>
          </m:e>
        </m:d>
      </m:oMath>
      <w:r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 xml:space="preserve">, </w:t>
      </w:r>
      <w:r w:rsidRPr="004D042C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 xml:space="preserve">ont été préparées sur </w:t>
      </w:r>
      <w:r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>d</w:t>
      </w:r>
      <w:r w:rsidRPr="004D042C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 xml:space="preserve">es substrats </w:t>
      </w:r>
      <w:r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>en</w:t>
      </w:r>
      <w:r w:rsidRPr="004D042C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 xml:space="preserve"> verre via la technique de revêtement par immersion. </w:t>
      </w:r>
      <w:r w:rsidRPr="00C10557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>Les effets de la concentration de dopage Fe sur les propriétés structurelles, morphologiques, optiques, électriques et la réponse au gaz isobutane (i-C</w:t>
      </w:r>
      <w:r w:rsidRPr="00C10557">
        <w:rPr>
          <w:rFonts w:asciiTheme="majorBidi" w:eastAsia="Times New Roman" w:hAnsiTheme="majorBidi" w:cstheme="majorBidi"/>
          <w:bCs/>
          <w:sz w:val="24"/>
          <w:szCs w:val="24"/>
          <w:vertAlign w:val="subscript"/>
          <w:lang w:eastAsia="en-US"/>
        </w:rPr>
        <w:t>4</w:t>
      </w:r>
      <w:r w:rsidRPr="00C10557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>H</w:t>
      </w:r>
      <w:r w:rsidRPr="00C10557">
        <w:rPr>
          <w:rFonts w:asciiTheme="majorBidi" w:eastAsia="Times New Roman" w:hAnsiTheme="majorBidi" w:cstheme="majorBidi"/>
          <w:bCs/>
          <w:sz w:val="24"/>
          <w:szCs w:val="24"/>
          <w:vertAlign w:val="subscript"/>
          <w:lang w:eastAsia="en-US"/>
        </w:rPr>
        <w:t>10</w:t>
      </w:r>
      <w:r w:rsidRPr="00C10557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 xml:space="preserve">) des nanostructures de FZO ont été étudiés. </w:t>
      </w:r>
      <w:r w:rsidRPr="00A90E99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 xml:space="preserve">L'analyse par diffraction des rayons X (XRD) a montré que le dopage au Fe a un effet significatif sur la taille des particules, la déformation et la qualité cristalline des films préparés. </w:t>
      </w:r>
      <w:r w:rsidRPr="00437C1A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 xml:space="preserve">Les images de microscopie électronique à balayage (MEB) des échantillons préparés ont révélé la formation de nanoparticules et de nanotiges, avec </w:t>
      </w:r>
      <w:r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>la</w:t>
      </w:r>
      <w:r w:rsidRPr="00437C1A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 xml:space="preserve"> variation de la teneur en élément dopant (Fe</w:t>
      </w:r>
      <w:r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>)</w:t>
      </w:r>
      <w:r w:rsidRPr="00437C1A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>. Les résultats de la spectroscopie</w:t>
      </w:r>
      <w:r w:rsidRPr="00BC636C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 xml:space="preserve"> à dispersion d'énergie (EDS) ont confirmé la présence d'éléments Zn, O et Fe.</w:t>
      </w:r>
      <w:r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 xml:space="preserve"> </w:t>
      </w:r>
      <w:r w:rsidRPr="00E90C51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>L'étude de la morphologie de surface par Microscopie à Force Atomique (AFM) a révélé que tous les échantillons de FZO</w:t>
      </w:r>
      <w:r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>s</w:t>
      </w:r>
      <w:r w:rsidRPr="00E90C51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 xml:space="preserve"> présentent une structure granulaire homogène de dimensions nanométriques et une porosité qui semble favorable à l'application de la détection de gaz. Les mesures d'absorption UV-Vis ont montré que les films déposés ont une transmittance comprise entre 69 et 89%, </w:t>
      </w:r>
      <w:r w:rsidRPr="00023A24">
        <w:rPr>
          <w:rFonts w:ascii="Times New Roman" w:hAnsi="Times New Roman" w:cs="Times New Roman"/>
          <w:sz w:val="24"/>
          <w:szCs w:val="24"/>
        </w:rPr>
        <w:t>et le graphique</w:t>
      </w:r>
      <w:r w:rsidRPr="00C305C0">
        <w:rPr>
          <w:rFonts w:ascii="Times New Roman" w:hAnsi="Times New Roman" w:cs="Times New Roman"/>
          <w:sz w:val="24"/>
          <w:szCs w:val="24"/>
        </w:rPr>
        <w:t xml:space="preserve"> de la dérivée première du coefficient de transmission optique</w:t>
      </w:r>
      <w:r w:rsidRPr="009A7861">
        <w:rPr>
          <w:rFonts w:ascii="Times New Roman" w:hAnsi="Times New Roman" w:cs="Times New Roman"/>
          <w:sz w:val="24"/>
          <w:szCs w:val="24"/>
        </w:rPr>
        <w:t xml:space="preserve"> </w:t>
      </w:r>
      <w:r w:rsidRPr="00023A24">
        <w:rPr>
          <w:rFonts w:ascii="Times New Roman" w:hAnsi="Times New Roman" w:cs="Times New Roman"/>
          <w:sz w:val="24"/>
          <w:szCs w:val="24"/>
        </w:rPr>
        <w:t>a indiqué que</w:t>
      </w:r>
      <w:r w:rsidRPr="00E90C51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 xml:space="preserve"> l'énergie de la bande interdite diminue avec l'augmentation </w:t>
      </w:r>
      <w:r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 xml:space="preserve">de la concentration </w:t>
      </w:r>
      <w:r w:rsidRPr="00E90C51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 xml:space="preserve">de dopage Fe. </w:t>
      </w:r>
      <w:r w:rsidRPr="00746414">
        <w:rPr>
          <w:rFonts w:ascii="Times New Roman" w:hAnsi="Times New Roman" w:cs="Times New Roman"/>
          <w:sz w:val="24"/>
          <w:szCs w:val="24"/>
        </w:rPr>
        <w:t>Les mesures électriques par effet Hall ont montré que les propriétés électriques des nanostructures de FZOs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811BC">
        <w:rPr>
          <w:rFonts w:ascii="Times New Roman" w:hAnsi="Times New Roman" w:cs="Times New Roman"/>
          <w:sz w:val="24"/>
          <w:szCs w:val="24"/>
        </w:rPr>
        <w:t>ont une conduction de type 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320D4">
        <w:rPr>
          <w:rFonts w:ascii="Times New Roman" w:hAnsi="Times New Roman" w:cs="Times New Roman"/>
          <w:sz w:val="24"/>
          <w:szCs w:val="24"/>
        </w:rPr>
        <w:t xml:space="preserve"> Les mesures ont montré que la résistivité et la concentration de porteurs de charges augmentent avec l’augmentation de </w:t>
      </w:r>
      <w:r w:rsidRPr="00DA58E8">
        <w:rPr>
          <w:rFonts w:ascii="Times New Roman" w:hAnsi="Times New Roman" w:cs="Times New Roman"/>
          <w:sz w:val="24"/>
          <w:szCs w:val="24"/>
        </w:rPr>
        <w:t>la concentration du dopant Fe</w:t>
      </w:r>
      <w:r w:rsidRPr="00746414">
        <w:rPr>
          <w:rFonts w:ascii="Times New Roman" w:hAnsi="Times New Roman" w:cs="Times New Roman"/>
          <w:sz w:val="24"/>
          <w:szCs w:val="24"/>
        </w:rPr>
        <w:t xml:space="preserve"> allant de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64,26 Ω.cm</m:t>
        </m:r>
      </m:oMath>
      <w:r w:rsidRPr="00746414">
        <w:rPr>
          <w:rFonts w:ascii="Times New Roman" w:hAnsi="Times New Roman" w:cs="Times New Roman"/>
          <w:sz w:val="24"/>
          <w:szCs w:val="24"/>
        </w:rPr>
        <w:t xml:space="preserve"> à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728,69 Ω.cm</m:t>
        </m:r>
      </m:oMath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46414">
        <w:rPr>
          <w:rFonts w:ascii="Times New Roman" w:hAnsi="Times New Roman" w:cs="Times New Roman"/>
          <w:sz w:val="24"/>
          <w:szCs w:val="24"/>
        </w:rPr>
        <w:t xml:space="preserve">et de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 xml:space="preserve">2,70 x </m:t>
        </m:r>
        <m:sSup>
          <m:sSupPr>
            <m:ctrlPr>
              <w:rPr>
                <w:rFonts w:ascii="Cambria Math" w:hAnsi="Cambria Math" w:cs="Times New Roman"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10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15</m:t>
            </m:r>
          </m:sup>
        </m:sSup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 xml:space="preserve"> </m:t>
        </m:r>
        <m:sSup>
          <m:sSupPr>
            <m:ctrlPr>
              <w:rPr>
                <w:rFonts w:ascii="Cambria Math" w:hAnsi="Cambria Math" w:cs="Times New Roman"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cm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-3</m:t>
            </m:r>
          </m:sup>
        </m:sSup>
      </m:oMath>
      <w:r w:rsidRPr="00746414">
        <w:rPr>
          <w:rFonts w:ascii="Times New Roman" w:hAnsi="Times New Roman" w:cs="Times New Roman"/>
          <w:sz w:val="24"/>
          <w:szCs w:val="24"/>
        </w:rPr>
        <w:t xml:space="preserve"> à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 xml:space="preserve">7,12 x </m:t>
        </m:r>
        <m:sSup>
          <m:sSupPr>
            <m:ctrlPr>
              <w:rPr>
                <w:rFonts w:ascii="Cambria Math" w:hAnsi="Cambria Math" w:cs="Times New Roman"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10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15</m:t>
            </m:r>
          </m:sup>
        </m:sSup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 xml:space="preserve"> </m:t>
        </m:r>
        <m:sSup>
          <m:sSupPr>
            <m:ctrlPr>
              <w:rPr>
                <w:rFonts w:ascii="Cambria Math" w:hAnsi="Cambria Math" w:cs="Times New Roman"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cm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-3</m:t>
            </m:r>
          </m:sup>
        </m:sSup>
      </m:oMath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46414">
        <w:rPr>
          <w:rFonts w:ascii="Times New Roman" w:hAnsi="Times New Roman" w:cs="Times New Roman"/>
          <w:sz w:val="24"/>
          <w:szCs w:val="24"/>
        </w:rPr>
        <w:t>respectivement</w:t>
      </w:r>
      <w:r w:rsidRPr="009320D4">
        <w:rPr>
          <w:rFonts w:ascii="Times New Roman" w:hAnsi="Times New Roman" w:cs="Times New Roman"/>
          <w:sz w:val="24"/>
          <w:szCs w:val="24"/>
        </w:rPr>
        <w:t>.</w:t>
      </w:r>
      <w:r w:rsidRPr="00746414">
        <w:rPr>
          <w:rFonts w:ascii="Times New Roman" w:hAnsi="Times New Roman" w:cs="Times New Roman"/>
          <w:sz w:val="24"/>
          <w:szCs w:val="24"/>
        </w:rPr>
        <w:t xml:space="preserve"> De plus, la mobilité de Hall variant entre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1,20</m:t>
        </m:r>
      </m:oMath>
      <w:r w:rsidRPr="00746414">
        <w:rPr>
          <w:rFonts w:ascii="Times New Roman" w:hAnsi="Times New Roman" w:cs="Times New Roman"/>
          <w:sz w:val="24"/>
          <w:szCs w:val="24"/>
        </w:rPr>
        <w:t xml:space="preserve"> et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 xml:space="preserve">35,97 </m:t>
        </m:r>
        <m:sSup>
          <m:sSupPr>
            <m:ctrlPr>
              <w:rPr>
                <w:rFonts w:ascii="Cambria Math" w:hAnsi="Cambria Math" w:cs="Times New Roman"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cm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 xml:space="preserve"> </m:t>
        </m:r>
        <m:sSup>
          <m:sSupPr>
            <m:ctrlPr>
              <w:rPr>
                <w:rFonts w:ascii="Cambria Math" w:hAnsi="Cambria Math" w:cs="Times New Roman"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V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-1</m:t>
            </m:r>
          </m:sup>
        </m:sSup>
        <m:sSup>
          <m:sSupPr>
            <m:ctrlPr>
              <w:rPr>
                <w:rFonts w:ascii="Cambria Math" w:hAnsi="Cambria Math" w:cs="Times New Roman"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 s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-1</m:t>
            </m:r>
          </m:sup>
        </m:sSup>
      </m:oMath>
      <w:r w:rsidRPr="0074641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 xml:space="preserve"> </w:t>
      </w:r>
      <w:r w:rsidRPr="00AD65E6">
        <w:rPr>
          <w:rFonts w:asciiTheme="majorBidi" w:eastAsia="Times New Roman" w:hAnsiTheme="majorBidi" w:cstheme="majorBidi"/>
          <w:sz w:val="24"/>
          <w:szCs w:val="24"/>
          <w:lang w:eastAsia="en-US"/>
        </w:rPr>
        <w:t xml:space="preserve">Les caractéristiques de sensibilité au gaz isobutane ont été évaluées en fonction de la composition de la </w:t>
      </w:r>
      <w:r>
        <w:rPr>
          <w:rFonts w:asciiTheme="majorBidi" w:eastAsia="Times New Roman" w:hAnsiTheme="majorBidi" w:cstheme="majorBidi"/>
          <w:sz w:val="24"/>
          <w:szCs w:val="24"/>
          <w:lang w:eastAsia="en-US"/>
        </w:rPr>
        <w:t>couche sensible (FZOs)</w:t>
      </w:r>
      <w:r w:rsidRPr="00AD65E6">
        <w:rPr>
          <w:rFonts w:asciiTheme="majorBidi" w:eastAsia="Times New Roman" w:hAnsiTheme="majorBidi" w:cstheme="majorBidi"/>
          <w:sz w:val="24"/>
          <w:szCs w:val="24"/>
          <w:lang w:eastAsia="en-US"/>
        </w:rPr>
        <w:t xml:space="preserve">, de la température de fonctionnement dans la plage de 150 à 300 °C et de la concentration volumique de gaz de 0,8 à 6,4 </w:t>
      </w:r>
      <w:r w:rsidRPr="000759E1">
        <w:rPr>
          <w:rFonts w:ascii="Times New Roman" w:hAnsi="Times New Roman" w:cs="Times New Roman"/>
          <w:sz w:val="24"/>
          <w:szCs w:val="24"/>
        </w:rPr>
        <w:t>Vo</w:t>
      </w:r>
      <w:r>
        <w:rPr>
          <w:rFonts w:ascii="Times New Roman" w:hAnsi="Times New Roman" w:cs="Times New Roman"/>
          <w:sz w:val="24"/>
          <w:szCs w:val="24"/>
        </w:rPr>
        <w:t>l.%</w:t>
      </w:r>
      <w:r w:rsidRPr="00AD65E6">
        <w:rPr>
          <w:rFonts w:asciiTheme="majorBidi" w:eastAsia="Times New Roman" w:hAnsiTheme="majorBidi" w:cstheme="majorBidi"/>
          <w:sz w:val="24"/>
          <w:szCs w:val="24"/>
          <w:lang w:eastAsia="en-US"/>
        </w:rPr>
        <w:t xml:space="preserve">. Les résultats obtenus ont montré que la réponse à l'isobutane, ainsi que les propriétés structurelles, morphologiques et optiques des nanostructures FZOs, changeaient avec </w:t>
      </w:r>
      <w:r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 xml:space="preserve">la concentration </w:t>
      </w:r>
      <w:r w:rsidRPr="00E90C51">
        <w:rPr>
          <w:rFonts w:asciiTheme="majorBidi" w:eastAsia="Times New Roman" w:hAnsiTheme="majorBidi" w:cstheme="majorBidi"/>
          <w:bCs/>
          <w:sz w:val="24"/>
          <w:szCs w:val="24"/>
          <w:lang w:eastAsia="en-US"/>
        </w:rPr>
        <w:t>de dopage Fe</w:t>
      </w:r>
      <w:r w:rsidRPr="00AD65E6">
        <w:rPr>
          <w:rFonts w:asciiTheme="majorBidi" w:eastAsia="Times New Roman" w:hAnsiTheme="majorBidi" w:cstheme="majorBidi"/>
          <w:sz w:val="24"/>
          <w:szCs w:val="24"/>
          <w:lang w:eastAsia="en-US"/>
        </w:rPr>
        <w:t>. De plus, les résultats de la détection d'isobutane ont clairement montré q</w:t>
      </w:r>
      <w:r>
        <w:rPr>
          <w:rFonts w:asciiTheme="majorBidi" w:eastAsia="Times New Roman" w:hAnsiTheme="majorBidi" w:cstheme="majorBidi"/>
          <w:sz w:val="24"/>
          <w:szCs w:val="24"/>
          <w:lang w:eastAsia="en-US"/>
        </w:rPr>
        <w:t>ue la nanostructure de ZnO dopé</w:t>
      </w:r>
      <w:r w:rsidRPr="00AD65E6">
        <w:rPr>
          <w:rFonts w:asciiTheme="majorBidi" w:eastAsia="Times New Roman" w:hAnsiTheme="majorBidi" w:cstheme="majorBidi"/>
          <w:sz w:val="24"/>
          <w:szCs w:val="24"/>
          <w:lang w:eastAsia="en-US"/>
        </w:rPr>
        <w:t xml:space="preserve"> à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3 %.wt</m:t>
        </m:r>
      </m:oMath>
      <w:r w:rsidRPr="00AD65E6">
        <w:rPr>
          <w:rFonts w:asciiTheme="majorBidi" w:eastAsia="Times New Roman" w:hAnsiTheme="majorBidi" w:cstheme="majorBidi"/>
          <w:sz w:val="24"/>
          <w:szCs w:val="24"/>
          <w:lang w:eastAsia="en-US"/>
        </w:rPr>
        <w:t xml:space="preserve"> Fe offrait une réponse remarquable d'environ 76,3 % avec un temps de réponse rapide d'environ 67 s à 0,8 </w:t>
      </w:r>
      <w:r w:rsidRPr="000759E1">
        <w:rPr>
          <w:rFonts w:ascii="Times New Roman" w:hAnsi="Times New Roman" w:cs="Times New Roman"/>
          <w:sz w:val="24"/>
          <w:szCs w:val="24"/>
        </w:rPr>
        <w:t>Vo</w:t>
      </w:r>
      <w:r>
        <w:rPr>
          <w:rFonts w:ascii="Times New Roman" w:hAnsi="Times New Roman" w:cs="Times New Roman"/>
          <w:sz w:val="24"/>
          <w:szCs w:val="24"/>
        </w:rPr>
        <w:t>l.%</w:t>
      </w:r>
      <w:r w:rsidRPr="00AD65E6">
        <w:rPr>
          <w:rFonts w:asciiTheme="majorBidi" w:eastAsia="Times New Roman" w:hAnsiTheme="majorBidi" w:cstheme="majorBidi"/>
          <w:sz w:val="24"/>
          <w:szCs w:val="24"/>
          <w:lang w:eastAsia="en-US"/>
        </w:rPr>
        <w:t xml:space="preserve"> d'i-C</w:t>
      </w:r>
      <w:r w:rsidRPr="00265325">
        <w:rPr>
          <w:rFonts w:asciiTheme="majorBidi" w:eastAsia="Times New Roman" w:hAnsiTheme="majorBidi" w:cstheme="majorBidi"/>
          <w:sz w:val="24"/>
          <w:szCs w:val="24"/>
          <w:vertAlign w:val="subscript"/>
          <w:lang w:eastAsia="en-US"/>
        </w:rPr>
        <w:t>4</w:t>
      </w:r>
      <w:r w:rsidRPr="00AD65E6">
        <w:rPr>
          <w:rFonts w:asciiTheme="majorBidi" w:eastAsia="Times New Roman" w:hAnsiTheme="majorBidi" w:cstheme="majorBidi"/>
          <w:sz w:val="24"/>
          <w:szCs w:val="24"/>
          <w:lang w:eastAsia="en-US"/>
        </w:rPr>
        <w:t>H</w:t>
      </w:r>
      <w:r w:rsidRPr="00265325">
        <w:rPr>
          <w:rFonts w:asciiTheme="majorBidi" w:eastAsia="Times New Roman" w:hAnsiTheme="majorBidi" w:cstheme="majorBidi"/>
          <w:sz w:val="24"/>
          <w:szCs w:val="24"/>
          <w:vertAlign w:val="subscript"/>
          <w:lang w:eastAsia="en-US"/>
        </w:rPr>
        <w:t>10</w:t>
      </w:r>
      <w:r w:rsidRPr="00AD65E6">
        <w:rPr>
          <w:rFonts w:asciiTheme="majorBidi" w:eastAsia="Times New Roman" w:hAnsiTheme="majorBidi" w:cstheme="majorBidi"/>
          <w:sz w:val="24"/>
          <w:szCs w:val="24"/>
          <w:lang w:eastAsia="en-US"/>
        </w:rPr>
        <w:t xml:space="preserve"> à la température de fonctionnement optimale de 250 °C. Par conséquent, les nanostructures FZO produites peuvent être utilisées comme capteur pour la détection de gaz isobutane dans diverses branches industrielles et domestiques.</w:t>
      </w:r>
    </w:p>
    <w:p w:rsidR="0012466D" w:rsidRDefault="0012466D">
      <w:bookmarkStart w:id="0" w:name="_GoBack"/>
      <w:bookmarkEnd w:id="0"/>
    </w:p>
    <w:sectPr w:rsidR="001246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81"/>
  <w:drawingGridVerticalSpacing w:val="18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46F8"/>
    <w:rsid w:val="000D46F8"/>
    <w:rsid w:val="0012466D"/>
    <w:rsid w:val="00D66DFB"/>
    <w:rsid w:val="00D70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718202-7297-461C-B0F2-0C1679F9C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66DFB"/>
    <w:pPr>
      <w:spacing w:after="200" w:line="276" w:lineRule="auto"/>
    </w:pPr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509</Words>
  <Characters>2803</Characters>
  <Application>Microsoft Office Word</Application>
  <DocSecurity>0</DocSecurity>
  <Lines>23</Lines>
  <Paragraphs>6</Paragraphs>
  <ScaleCrop>false</ScaleCrop>
  <Company/>
  <LinksUpToDate>false</LinksUpToDate>
  <CharactersWithSpaces>3306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Seddik</dc:creator>
  <cp:keywords/>
  <dc:description/>
  <cp:lastModifiedBy>Seddik</cp:lastModifiedBy>
  <cp:revision>2</cp:revision>
  <dcterms:created xsi:type="dcterms:W3CDTF">2022-06-21T10:35:00Z</dcterms:created>
  <dcterms:modified xsi:type="dcterms:W3CDTF">2022-06-21T10:35:00Z</dcterms:modified>
</cp:coreProperties>
</file>