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5E1CFE" w14:textId="77777777" w:rsidR="00D016E6" w:rsidRPr="00D016E6" w:rsidRDefault="00D016E6" w:rsidP="00D016E6">
      <w:pPr>
        <w:tabs>
          <w:tab w:val="left" w:pos="1452"/>
        </w:tabs>
        <w:bidi/>
        <w:spacing w:after="200" w:line="276" w:lineRule="auto"/>
        <w:rPr>
          <w:rFonts w:ascii="Simplified Arabic" w:eastAsia="Times New Roman" w:hAnsi="Simplified Arabic" w:cs="Simplified Arabic"/>
          <w:b/>
          <w:bCs/>
          <w:kern w:val="0"/>
          <w:sz w:val="36"/>
          <w:szCs w:val="36"/>
          <w:rtl/>
          <w:lang w:bidi="ar-DZ"/>
          <w14:ligatures w14:val="none"/>
        </w:rPr>
      </w:pPr>
      <w:r w:rsidRPr="00D016E6">
        <w:rPr>
          <w:rFonts w:ascii="Simplified Arabic" w:eastAsia="Times New Roman" w:hAnsi="Simplified Arabic" w:cs="Simplified Arabic" w:hint="cs"/>
          <w:b/>
          <w:bCs/>
          <w:kern w:val="0"/>
          <w:sz w:val="36"/>
          <w:szCs w:val="36"/>
          <w:rtl/>
          <w:lang w:bidi="ar-DZ"/>
          <w14:ligatures w14:val="none"/>
        </w:rPr>
        <w:t xml:space="preserve">ملخص </w:t>
      </w:r>
      <w:proofErr w:type="gramStart"/>
      <w:r w:rsidRPr="00D016E6">
        <w:rPr>
          <w:rFonts w:ascii="Simplified Arabic" w:eastAsia="Times New Roman" w:hAnsi="Simplified Arabic" w:cs="Simplified Arabic" w:hint="cs"/>
          <w:b/>
          <w:bCs/>
          <w:kern w:val="0"/>
          <w:sz w:val="36"/>
          <w:szCs w:val="36"/>
          <w:rtl/>
          <w:lang w:bidi="ar-DZ"/>
          <w14:ligatures w14:val="none"/>
        </w:rPr>
        <w:t>الدراسة :</w:t>
      </w:r>
      <w:proofErr w:type="gramEnd"/>
      <w:r w:rsidRPr="00D016E6">
        <w:rPr>
          <w:rFonts w:ascii="Simplified Arabic" w:eastAsia="Times New Roman" w:hAnsi="Simplified Arabic" w:cs="Simplified Arabic" w:hint="cs"/>
          <w:b/>
          <w:bCs/>
          <w:kern w:val="0"/>
          <w:sz w:val="36"/>
          <w:szCs w:val="36"/>
          <w:rtl/>
          <w:lang w:bidi="ar-DZ"/>
          <w14:ligatures w14:val="none"/>
        </w:rPr>
        <w:t xml:space="preserve"> </w:t>
      </w:r>
    </w:p>
    <w:p w14:paraId="348AF4D8" w14:textId="77777777" w:rsidR="00D016E6" w:rsidRPr="00D016E6" w:rsidRDefault="00D016E6" w:rsidP="00D016E6">
      <w:pPr>
        <w:tabs>
          <w:tab w:val="left" w:pos="1452"/>
        </w:tabs>
        <w:bidi/>
        <w:spacing w:after="200" w:line="276" w:lineRule="auto"/>
        <w:jc w:val="lowKashida"/>
        <w:rPr>
          <w:rFonts w:ascii="Simplified Arabic" w:eastAsia="Times New Roman" w:hAnsi="Simplified Arabic" w:cs="Simplified Arabic"/>
          <w:kern w:val="0"/>
          <w:sz w:val="32"/>
          <w:szCs w:val="32"/>
          <w:rtl/>
          <w:lang w:bidi="ar-DZ"/>
          <w14:ligatures w14:val="none"/>
        </w:rPr>
      </w:pPr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>جاء ميخائيل باختين (</w:t>
      </w:r>
      <w:proofErr w:type="gramStart"/>
      <w:r w:rsidRPr="00D016E6">
        <w:rPr>
          <w:rFonts w:ascii="Simplified Arabic" w:eastAsia="Times New Roman" w:hAnsi="Simplified Arabic" w:cs="Simplified Arabic"/>
          <w:kern w:val="0"/>
          <w:sz w:val="32"/>
          <w:szCs w:val="32"/>
          <w:lang w:bidi="ar-DZ"/>
          <w14:ligatures w14:val="none"/>
        </w:rPr>
        <w:t>M.BAKHTINE</w:t>
      </w:r>
      <w:proofErr w:type="gramEnd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 xml:space="preserve">) لنظرية نقدية اصطلح عليها الحوارية </w:t>
      </w:r>
    </w:p>
    <w:p w14:paraId="51DFE1A0" w14:textId="77777777" w:rsidR="00D016E6" w:rsidRDefault="00D016E6" w:rsidP="00D016E6">
      <w:pPr>
        <w:tabs>
          <w:tab w:val="left" w:pos="1452"/>
        </w:tabs>
        <w:bidi/>
        <w:spacing w:after="200" w:line="276" w:lineRule="auto"/>
        <w:jc w:val="lowKashida"/>
        <w:rPr>
          <w:rFonts w:ascii="Simplified Arabic" w:eastAsia="Times New Roman" w:hAnsi="Simplified Arabic" w:cs="Simplified Arabic"/>
          <w:kern w:val="0"/>
          <w:sz w:val="32"/>
          <w:szCs w:val="32"/>
          <w:lang w:bidi="ar-DZ"/>
          <w14:ligatures w14:val="none"/>
        </w:rPr>
      </w:pPr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>(</w:t>
      </w:r>
      <w:r w:rsidRPr="00D016E6">
        <w:rPr>
          <w:rFonts w:ascii="Simplified Arabic" w:eastAsia="Times New Roman" w:hAnsi="Simplified Arabic" w:cs="Simplified Arabic"/>
          <w:kern w:val="0"/>
          <w:sz w:val="32"/>
          <w:szCs w:val="32"/>
          <w:lang w:bidi="ar-DZ"/>
          <w14:ligatures w14:val="none"/>
        </w:rPr>
        <w:t>DIA LOGISME</w:t>
      </w:r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>)حيث أن مبدأه الحواري قائم على "</w:t>
      </w:r>
      <w:r w:rsidRPr="00D016E6">
        <w:rPr>
          <w:rFonts w:ascii="Simplified Arabic" w:eastAsia="Times New Roman" w:hAnsi="Simplified Arabic" w:cs="Simplified Arabic" w:hint="cs"/>
          <w:b/>
          <w:bCs/>
          <w:kern w:val="0"/>
          <w:sz w:val="32"/>
          <w:szCs w:val="32"/>
          <w:u w:val="single"/>
          <w:rtl/>
          <w:lang w:bidi="ar-DZ"/>
          <w14:ligatures w14:val="none"/>
        </w:rPr>
        <w:t>تعدد الأصوات "</w:t>
      </w:r>
      <w:r w:rsidRPr="00D016E6">
        <w:rPr>
          <w:rFonts w:ascii="Simplified Arabic" w:eastAsia="Times New Roman" w:hAnsi="Simplified Arabic" w:cs="Simplified Arabic"/>
          <w:kern w:val="0"/>
          <w:sz w:val="32"/>
          <w:szCs w:val="32"/>
          <w:lang w:bidi="ar-DZ"/>
          <w14:ligatures w14:val="none"/>
        </w:rPr>
        <w:t xml:space="preserve"> </w:t>
      </w:r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 xml:space="preserve">و أن الكون بأكمله قائم على الحوار ، وقد اهتم في دراسته لهذه النظرية بروايات دوستويفسكي وقد صرح بأن الخطاب الروائي هجين </w:t>
      </w:r>
      <w:proofErr w:type="spellStart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>لإحتوائه</w:t>
      </w:r>
      <w:proofErr w:type="spellEnd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 xml:space="preserve"> على </w:t>
      </w:r>
      <w:proofErr w:type="spellStart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>الأسلبة</w:t>
      </w:r>
      <w:proofErr w:type="spellEnd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 xml:space="preserve"> و </w:t>
      </w:r>
      <w:proofErr w:type="spellStart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>الباروديا</w:t>
      </w:r>
      <w:proofErr w:type="spellEnd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 xml:space="preserve"> و التنويع و الحوارات الخالصة كما أن "جوليا </w:t>
      </w:r>
      <w:proofErr w:type="spellStart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>كريستيفا</w:t>
      </w:r>
      <w:proofErr w:type="spellEnd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 xml:space="preserve"> " قد استفادت من حوارية باختين في طريقها إلى </w:t>
      </w:r>
      <w:proofErr w:type="spellStart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>التناص</w:t>
      </w:r>
      <w:proofErr w:type="spellEnd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 xml:space="preserve"> و تبعها بعد ذلك "جيرار </w:t>
      </w:r>
      <w:proofErr w:type="spellStart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>جينيت</w:t>
      </w:r>
      <w:proofErr w:type="spellEnd"/>
      <w:r w:rsidRPr="00D016E6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bidi="ar-DZ"/>
          <w14:ligatures w14:val="none"/>
        </w:rPr>
        <w:t xml:space="preserve"> " بما يسميه " بالمتعاليات النصية " ، أما من النقاد العرب فقد كان "لسعيد يقطين " وعبد المالك مرتاض " "ومحمد مفتاح " دورا مهما في تأسيس هذه النظرية عند العرب .</w:t>
      </w:r>
    </w:p>
    <w:p w14:paraId="70737C7F" w14:textId="416EA24F" w:rsidR="00D016E6" w:rsidRDefault="00D016E6" w:rsidP="00D016E6">
      <w:pPr>
        <w:tabs>
          <w:tab w:val="left" w:pos="1452"/>
        </w:tabs>
        <w:bidi/>
        <w:spacing w:after="200" w:line="276" w:lineRule="auto"/>
        <w:jc w:val="lowKashida"/>
        <w:rPr>
          <w:rFonts w:ascii="Simplified Arabic" w:eastAsia="Times New Roman" w:hAnsi="Simplified Arabic" w:cs="Simplified Arabic"/>
          <w:kern w:val="0"/>
          <w:sz w:val="32"/>
          <w:szCs w:val="32"/>
          <w:rtl/>
          <w:lang w:val="en-US" w:bidi="ar-DZ"/>
          <w14:ligatures w14:val="none"/>
        </w:rPr>
      </w:pPr>
      <w:r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val="en-US" w:bidi="ar-DZ"/>
          <w14:ligatures w14:val="none"/>
        </w:rPr>
        <w:t xml:space="preserve">الكلمات </w:t>
      </w:r>
      <w:proofErr w:type="gramStart"/>
      <w:r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val="en-US" w:bidi="ar-DZ"/>
          <w14:ligatures w14:val="none"/>
        </w:rPr>
        <w:t>المفتاحية :</w:t>
      </w:r>
      <w:proofErr w:type="gramEnd"/>
      <w:r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val="en-US" w:bidi="ar-DZ"/>
          <w14:ligatures w14:val="none"/>
        </w:rPr>
        <w:t xml:space="preserve"> </w:t>
      </w:r>
    </w:p>
    <w:p w14:paraId="071B540B" w14:textId="650EF1D7" w:rsidR="00D016E6" w:rsidRPr="00D016E6" w:rsidRDefault="00D016E6" w:rsidP="00D016E6">
      <w:pPr>
        <w:tabs>
          <w:tab w:val="left" w:pos="1452"/>
        </w:tabs>
        <w:bidi/>
        <w:spacing w:after="200" w:line="276" w:lineRule="auto"/>
        <w:jc w:val="lowKashida"/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val="en-US" w:bidi="ar-DZ"/>
          <w14:ligatures w14:val="none"/>
        </w:rPr>
      </w:pPr>
      <w:r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val="en-US" w:bidi="ar-DZ"/>
          <w14:ligatures w14:val="none"/>
        </w:rPr>
        <w:t xml:space="preserve">الحوارية </w:t>
      </w:r>
      <w:r w:rsidR="00654264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val="en-US" w:bidi="ar-DZ"/>
          <w14:ligatures w14:val="none"/>
        </w:rPr>
        <w:t xml:space="preserve">، تعدد اللغات ، تعدد الأصوات ، </w:t>
      </w:r>
      <w:proofErr w:type="spellStart"/>
      <w:r w:rsidR="00654264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val="en-US" w:bidi="ar-DZ"/>
          <w14:ligatures w14:val="none"/>
        </w:rPr>
        <w:t>التناص</w:t>
      </w:r>
      <w:proofErr w:type="spellEnd"/>
      <w:r w:rsidR="00654264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val="en-US" w:bidi="ar-DZ"/>
          <w14:ligatures w14:val="none"/>
        </w:rPr>
        <w:t xml:space="preserve"> ، التهجين ، </w:t>
      </w:r>
      <w:proofErr w:type="spellStart"/>
      <w:r w:rsidR="00654264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val="en-US" w:bidi="ar-DZ"/>
          <w14:ligatures w14:val="none"/>
        </w:rPr>
        <w:t>الميتناصية</w:t>
      </w:r>
      <w:proofErr w:type="spellEnd"/>
      <w:r w:rsidR="00654264">
        <w:rPr>
          <w:rFonts w:ascii="Simplified Arabic" w:eastAsia="Times New Roman" w:hAnsi="Simplified Arabic" w:cs="Simplified Arabic" w:hint="cs"/>
          <w:kern w:val="0"/>
          <w:sz w:val="32"/>
          <w:szCs w:val="32"/>
          <w:rtl/>
          <w:lang w:val="en-US" w:bidi="ar-DZ"/>
          <w14:ligatures w14:val="none"/>
        </w:rPr>
        <w:t xml:space="preserve"> ، المناص </w:t>
      </w:r>
    </w:p>
    <w:p w14:paraId="14DFAB31" w14:textId="77777777" w:rsidR="00D016E6" w:rsidRPr="00D016E6" w:rsidRDefault="00D016E6" w:rsidP="00D016E6">
      <w:pPr>
        <w:tabs>
          <w:tab w:val="left" w:pos="1452"/>
        </w:tabs>
        <w:spacing w:after="200" w:line="276" w:lineRule="auto"/>
        <w:jc w:val="lowKashida"/>
        <w:rPr>
          <w:rFonts w:ascii="Times New Roman" w:eastAsia="Times New Roman" w:hAnsi="Times New Roman" w:cs="Times New Roman"/>
          <w:kern w:val="0"/>
          <w:sz w:val="36"/>
          <w:szCs w:val="36"/>
          <w:rtl/>
          <w:lang w:bidi="ar-DZ"/>
          <w14:ligatures w14:val="none"/>
        </w:rPr>
      </w:pPr>
    </w:p>
    <w:p w14:paraId="63B73823" w14:textId="77777777" w:rsidR="00D016E6" w:rsidRPr="00D016E6" w:rsidRDefault="00D016E6" w:rsidP="00D016E6">
      <w:pPr>
        <w:spacing w:after="200" w:line="276" w:lineRule="auto"/>
        <w:jc w:val="lowKashida"/>
        <w:rPr>
          <w:rFonts w:ascii="Times New Roman" w:eastAsia="Times New Roman" w:hAnsi="Times New Roman" w:cs="Times New Roman"/>
          <w:kern w:val="0"/>
          <w:sz w:val="32"/>
          <w:szCs w:val="32"/>
          <w:lang w:bidi="ar-DZ"/>
          <w14:ligatures w14:val="none"/>
        </w:rPr>
      </w:pPr>
      <w:r w:rsidRPr="00D016E6"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  <w:t xml:space="preserve">Mikhaïl Bakhtine a proposé une théorie </w:t>
      </w:r>
      <w:proofErr w:type="gramStart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  <w:t>critique  qu’il</w:t>
      </w:r>
      <w:proofErr w:type="gramEnd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  <w:t xml:space="preserve"> a appelée dialogisme, car son principe dialogique est basé sur la polyphonie et que l’univers entier est basé sur le dialogue. Dans son étude de cette théorie, il a </w:t>
      </w:r>
      <w:proofErr w:type="gramStart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  <w:t>prêté  attention</w:t>
      </w:r>
      <w:proofErr w:type="gramEnd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  <w:t xml:space="preserve"> aux romans de Dostoïevski, où il a déclaré que le discours du romancier est hybride parce qu‘il   contient</w:t>
      </w:r>
      <w:r w:rsidRPr="00D016E6">
        <w:rPr>
          <w:rFonts w:ascii="Times New Roman" w:eastAsia="Times New Roman" w:hAnsi="Times New Roman" w:cs="Times New Roman"/>
          <w:kern w:val="0"/>
          <w:sz w:val="32"/>
          <w:szCs w:val="32"/>
          <w:rtl/>
          <w:lang w:val="en-US"/>
          <w14:ligatures w14:val="none"/>
        </w:rPr>
        <w:t>:</w:t>
      </w:r>
      <w:r w:rsidRPr="00D016E6"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  <w:t xml:space="preserve"> la stylisation, la parodie, la diversification et les dialogues purs. </w:t>
      </w:r>
      <w:proofErr w:type="gramStart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  <w:t>Aussi  Julia</w:t>
      </w:r>
      <w:proofErr w:type="gramEnd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  <w:t xml:space="preserve"> Kristeva a bénéficié du dialogue de Bakhtine sur son chemin vers  l’intertextualité, puis Gérard Genet l’a suivi avec ce qu’il appelle le transcendantalisme textuel. Quant aux critiques arabes, Saeed </w:t>
      </w:r>
      <w:proofErr w:type="spellStart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  <w:t>Yaqtin</w:t>
      </w:r>
      <w:proofErr w:type="spellEnd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  <w:t xml:space="preserve">, </w:t>
      </w:r>
      <w:proofErr w:type="spellStart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  <w:t>Abd</w:t>
      </w:r>
      <w:proofErr w:type="spellEnd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  <w:t xml:space="preserve"> al</w:t>
      </w:r>
      <w:r w:rsidRPr="00D016E6">
        <w:rPr>
          <w:rFonts w:ascii="Times New Roman" w:eastAsia="Times New Roman" w:hAnsi="Times New Roman" w:cs="Times New Roman"/>
          <w:kern w:val="0"/>
          <w:sz w:val="32"/>
          <w:szCs w:val="32"/>
          <w:rtl/>
          <w:lang w:val="en-US" w:bidi="ar-DZ"/>
          <w14:ligatures w14:val="none"/>
        </w:rPr>
        <w:t>ـ</w:t>
      </w:r>
      <w:r w:rsidRPr="00D016E6">
        <w:rPr>
          <w:rFonts w:ascii="Times New Roman" w:eastAsia="Times New Roman" w:hAnsi="Times New Roman" w:cs="Times New Roman"/>
          <w:kern w:val="0"/>
          <w:sz w:val="32"/>
          <w:szCs w:val="32"/>
          <w:lang w:bidi="ar-DZ"/>
          <w14:ligatures w14:val="none"/>
        </w:rPr>
        <w:t xml:space="preserve">Malik </w:t>
      </w:r>
      <w:proofErr w:type="spellStart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:lang w:bidi="ar-DZ"/>
          <w14:ligatures w14:val="none"/>
        </w:rPr>
        <w:t>Murtada</w:t>
      </w:r>
      <w:proofErr w:type="spellEnd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:lang w:bidi="ar-DZ"/>
          <w14:ligatures w14:val="none"/>
        </w:rPr>
        <w:t xml:space="preserve"> et Muhammad </w:t>
      </w:r>
      <w:proofErr w:type="spellStart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:lang w:bidi="ar-DZ"/>
          <w14:ligatures w14:val="none"/>
        </w:rPr>
        <w:t>Moftah</w:t>
      </w:r>
      <w:proofErr w:type="spellEnd"/>
      <w:r w:rsidRPr="00D016E6">
        <w:rPr>
          <w:rFonts w:ascii="Times New Roman" w:eastAsia="Times New Roman" w:hAnsi="Times New Roman" w:cs="Times New Roman"/>
          <w:kern w:val="0"/>
          <w:sz w:val="32"/>
          <w:szCs w:val="32"/>
          <w:lang w:bidi="ar-DZ"/>
          <w14:ligatures w14:val="none"/>
        </w:rPr>
        <w:t xml:space="preserve"> ont joué un rôle important dans l’établissement de cette théorie chez les arabes. </w:t>
      </w:r>
    </w:p>
    <w:p w14:paraId="06F17F8B" w14:textId="77777777" w:rsidR="00D016E6" w:rsidRPr="00D016E6" w:rsidRDefault="00D016E6" w:rsidP="00D016E6">
      <w:pPr>
        <w:tabs>
          <w:tab w:val="left" w:pos="1452"/>
        </w:tabs>
        <w:bidi/>
        <w:spacing w:after="200" w:line="276" w:lineRule="auto"/>
        <w:jc w:val="lowKashida"/>
        <w:rPr>
          <w:rFonts w:ascii="Simplified Arabic" w:eastAsia="Times New Roman" w:hAnsi="Simplified Arabic" w:cs="Simplified Arabic"/>
          <w:kern w:val="0"/>
          <w:sz w:val="32"/>
          <w:szCs w:val="32"/>
          <w:lang w:bidi="ar-DZ"/>
          <w14:ligatures w14:val="none"/>
        </w:rPr>
      </w:pPr>
    </w:p>
    <w:p w14:paraId="37D1CF22" w14:textId="77777777" w:rsidR="005C62A7" w:rsidRPr="00D016E6" w:rsidRDefault="005C62A7" w:rsidP="00D016E6">
      <w:pPr>
        <w:bidi/>
      </w:pPr>
    </w:p>
    <w:sectPr w:rsidR="005C62A7" w:rsidRPr="00D016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16E6"/>
    <w:rsid w:val="00543F8B"/>
    <w:rsid w:val="005C62A7"/>
    <w:rsid w:val="00654264"/>
    <w:rsid w:val="006B477A"/>
    <w:rsid w:val="007A4577"/>
    <w:rsid w:val="008D53E0"/>
    <w:rsid w:val="00937F8D"/>
    <w:rsid w:val="009760C9"/>
    <w:rsid w:val="00BB0891"/>
    <w:rsid w:val="00D01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3BAD27"/>
  <w15:chartTrackingRefBased/>
  <w15:docId w15:val="{77BC99ED-61B3-4127-8CA6-C04BA3841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6B477A"/>
    <w:pPr>
      <w:keepNext/>
      <w:keepLines/>
      <w:bidi/>
      <w:spacing w:after="0" w:line="240" w:lineRule="auto"/>
      <w:outlineLvl w:val="0"/>
    </w:pPr>
    <w:rPr>
      <w:rFonts w:ascii="Simplified Arabic" w:eastAsiaTheme="majorEastAsia" w:hAnsi="Simplified Arabic" w:cstheme="majorBidi"/>
      <w:b/>
      <w:color w:val="000000" w:themeColor="text1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6B477A"/>
    <w:rPr>
      <w:rFonts w:ascii="Simplified Arabic" w:eastAsiaTheme="majorEastAsia" w:hAnsi="Simplified Arabic" w:cstheme="majorBidi"/>
      <w:b/>
      <w:color w:val="000000" w:themeColor="text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222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lahssen djebailia</dc:creator>
  <cp:keywords/>
  <dc:description/>
  <cp:lastModifiedBy>lahssen djebailia</cp:lastModifiedBy>
  <cp:revision>1</cp:revision>
  <dcterms:created xsi:type="dcterms:W3CDTF">2023-07-10T11:26:00Z</dcterms:created>
  <dcterms:modified xsi:type="dcterms:W3CDTF">2023-07-10T11:29:00Z</dcterms:modified>
</cp:coreProperties>
</file>