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E0998" w:rsidRDefault="00BE0998" w:rsidP="00BE0998">
      <w:pPr>
        <w:bidi/>
        <w:spacing w:after="0" w:line="288" w:lineRule="auto"/>
        <w:jc w:val="both"/>
        <w:rPr>
          <w:rFonts w:ascii="Times New Roman" w:hAnsi="Times New Roman" w:cs="Traditional Arabic"/>
          <w:b/>
          <w:bCs/>
          <w:color w:val="000000"/>
          <w:spacing w:val="-14"/>
          <w:sz w:val="36"/>
          <w:szCs w:val="36"/>
          <w:rtl/>
          <w:lang w:bidi="ar-DZ"/>
        </w:rPr>
      </w:pPr>
      <w:r>
        <w:rPr>
          <w:rFonts w:ascii="Times New Roman" w:hAnsi="Times New Roman" w:cs="Traditional Arabic" w:hint="cs"/>
          <w:b/>
          <w:bCs/>
          <w:color w:val="000000"/>
          <w:spacing w:val="-14"/>
          <w:sz w:val="36"/>
          <w:szCs w:val="36"/>
          <w:rtl/>
          <w:lang w:bidi="ar-DZ"/>
        </w:rPr>
        <w:t>ملخص:</w:t>
      </w:r>
    </w:p>
    <w:p w:rsidR="00BE0998" w:rsidRDefault="00BE0998" w:rsidP="00FA3172">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 xml:space="preserve">إن </w:t>
      </w:r>
      <w:r w:rsidR="00FA3172">
        <w:rPr>
          <w:rFonts w:ascii="Times New Roman" w:hAnsi="Times New Roman" w:cs="Traditional Arabic" w:hint="cs"/>
          <w:color w:val="000000"/>
          <w:spacing w:val="-14"/>
          <w:sz w:val="36"/>
          <w:szCs w:val="36"/>
          <w:rtl/>
        </w:rPr>
        <w:t>ل</w:t>
      </w:r>
      <w:r>
        <w:rPr>
          <w:rFonts w:ascii="Times New Roman" w:hAnsi="Times New Roman" w:cs="Traditional Arabic" w:hint="cs"/>
          <w:color w:val="000000"/>
          <w:spacing w:val="-14"/>
          <w:sz w:val="36"/>
          <w:szCs w:val="36"/>
          <w:rtl/>
          <w:lang w:bidi="ar-DZ"/>
        </w:rPr>
        <w:t xml:space="preserve">لطلاق </w:t>
      </w:r>
      <w:r w:rsidR="00FA3172">
        <w:rPr>
          <w:rFonts w:ascii="Times New Roman" w:hAnsi="Times New Roman" w:cs="Traditional Arabic" w:hint="cs"/>
          <w:color w:val="000000"/>
          <w:spacing w:val="-14"/>
          <w:sz w:val="36"/>
          <w:szCs w:val="36"/>
          <w:rtl/>
          <w:lang w:bidi="ar-DZ"/>
        </w:rPr>
        <w:t xml:space="preserve">آثار </w:t>
      </w:r>
      <w:r>
        <w:rPr>
          <w:rFonts w:ascii="Times New Roman" w:hAnsi="Times New Roman" w:cs="Traditional Arabic" w:hint="cs"/>
          <w:color w:val="000000"/>
          <w:spacing w:val="-14"/>
          <w:sz w:val="36"/>
          <w:szCs w:val="36"/>
          <w:rtl/>
          <w:lang w:bidi="ar-DZ"/>
        </w:rPr>
        <w:t>في قواني</w:t>
      </w:r>
      <w:r w:rsidR="00FA3172">
        <w:rPr>
          <w:rFonts w:ascii="Times New Roman" w:hAnsi="Times New Roman" w:cs="Traditional Arabic" w:hint="cs"/>
          <w:color w:val="000000"/>
          <w:spacing w:val="-14"/>
          <w:sz w:val="36"/>
          <w:szCs w:val="36"/>
          <w:rtl/>
          <w:lang w:bidi="ar-DZ"/>
        </w:rPr>
        <w:t>ن الأحوال الشخصية المغاربية</w:t>
      </w:r>
      <w:r>
        <w:rPr>
          <w:rFonts w:ascii="Times New Roman" w:hAnsi="Times New Roman" w:cs="Traditional Arabic" w:hint="cs"/>
          <w:color w:val="000000"/>
          <w:spacing w:val="-14"/>
          <w:sz w:val="36"/>
          <w:szCs w:val="36"/>
          <w:rtl/>
          <w:lang w:bidi="ar-DZ"/>
        </w:rPr>
        <w:t xml:space="preserve">، سواء ما تعلق الأمر قي شقها المالي أو الغير المالي وهذا مكفول شرعا وقانونا وعلى هذا الأساس عالجت قوانين الأحوال الشخصية المغاربية ما يترتب </w:t>
      </w:r>
      <w:r w:rsidR="00FA3172">
        <w:rPr>
          <w:rFonts w:ascii="Times New Roman" w:hAnsi="Times New Roman" w:cs="Traditional Arabic" w:hint="cs"/>
          <w:color w:val="000000"/>
          <w:spacing w:val="-14"/>
          <w:sz w:val="36"/>
          <w:szCs w:val="36"/>
          <w:rtl/>
        </w:rPr>
        <w:t>من</w:t>
      </w:r>
      <w:r w:rsidR="00FA3172">
        <w:rPr>
          <w:rFonts w:ascii="Times New Roman" w:hAnsi="Times New Roman" w:cs="Traditional Arabic" w:hint="cs"/>
          <w:color w:val="000000"/>
          <w:spacing w:val="-14"/>
          <w:sz w:val="36"/>
          <w:szCs w:val="36"/>
          <w:rtl/>
          <w:lang w:bidi="ar-DZ"/>
        </w:rPr>
        <w:t xml:space="preserve"> هذه الآثار</w:t>
      </w:r>
      <w:r>
        <w:rPr>
          <w:rFonts w:ascii="Times New Roman" w:hAnsi="Times New Roman" w:cs="Traditional Arabic" w:hint="cs"/>
          <w:color w:val="000000"/>
          <w:spacing w:val="-14"/>
          <w:sz w:val="36"/>
          <w:szCs w:val="36"/>
          <w:rtl/>
          <w:lang w:bidi="ar-DZ"/>
        </w:rPr>
        <w:t xml:space="preserve"> بعد انحلال الرابطة الزوجية، فالمتعة هي القيمة المالية التي يقدمها الزوج إلى زوجته نظير ما يلحقها من ألم الفراق.</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ولاشك وأن الطلاق يرتب أضرار لأحد الزوجين ولو من باب خدش الشعور، وهذا ما نص عليه المشرعين المغاربة، حيث أوجبوا التعويض عن الضرر اللاحق جراء الطلاق لأحد الطرفين، كما أوكلوا هذا التقدير إلى سلطة القاضي.</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والطلاق قد يكون بإرادة الزوجين أو بإرادة الزوج وحده، أو بإرادة الزوجة إذا توفرت لها الأسباب المقررة قانونا.</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كما عالج المشرعين المغاربة مسألة التعويض عن الضرر اللاحق بأحد الأطراف بحسب درجة الضرر اللاحق به، وهذا التقدير موكول إلى السلطة التقديرية للقاضي.</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 xml:space="preserve">كما أنه قد يثور نزاع بين الزوجين أو ورثتهما حول متاع البيت فقد عالج المشرعين المغاربة هذه المسألة على أساس قاعدة البينة التي في صورة انعدامها، فإنه يحكم على اليمين للرجل بما هو ذو الاستعمال الخاص </w:t>
      </w:r>
      <w:r>
        <w:rPr>
          <w:rFonts w:ascii="Times New Roman" w:hAnsi="Times New Roman" w:cs="Traditional Arabic" w:hint="cs"/>
          <w:color w:val="000000"/>
          <w:spacing w:val="-14"/>
          <w:sz w:val="36"/>
          <w:szCs w:val="36"/>
          <w:rtl/>
          <w:lang w:bidi="ar-DZ"/>
        </w:rPr>
        <w:lastRenderedPageBreak/>
        <w:t>بالرجال، وللمرأة بما هو ذو الاستعمال الخاص بالنساء، ويقتسمان الأشياء المشتركة بينهما.</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كما عالج المشرعين المغاربة مسألة المهر، حيث أوجبوا على استحقاق المرأة لكامل المهر بوفاة الزوج أو الدخول وضرورة إدراج مسألة استحقاق الزوجة للمهر كاملا في حال وفاتها وانتقاله لورثتها، كما تستحق نصف المهر قبل الدخول.</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كما يثبت حق النفقة للمطلقة بصفة عامة، وحسب ما جاء به المشرعين المغاربة ووفق ما اتفق عليه العلماء على ثبوت هذا الحق للمطلقة بمختلف صورها، وعدم استحقاق المطلقة قبل الدخول لهذا الحق، كما اعتبر المشرعين المغاربة إن نفقة المطلقة من أهم الآثار المالية المترتبة على الزوج أثناء فترة العدة.</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إن العدة كأثر من آثار الطلاق ونتائجه يقودنا إلى المهلة التي تتربص خلالها المرأة ولا ينبغي أن تتزوج إلا بعد انقضاء هذه المهلة المحددة شرعا وحسب قوانين الأحوال الشخصية المغاربية وفي حال أن أقدمت على الزواج أثناء هذه الفترة، فإنها تكون قد خالفت الشريعة الإسلامية وخالفت قوانين الأحوال الشخصية المغاربية.</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 xml:space="preserve">والعدة التي تجب على المرأة تختلف تبعا لاختلاف حالها، فقد تكون العدة من طلاق أو فسخ، وقد تكون عدة وفاة، ثم هي مع ذلك قد تكون حاملا، وقد تعتد في حال </w:t>
      </w:r>
      <w:r>
        <w:rPr>
          <w:rFonts w:ascii="Times New Roman" w:hAnsi="Times New Roman" w:cs="Traditional Arabic" w:hint="cs"/>
          <w:color w:val="000000"/>
          <w:spacing w:val="-14"/>
          <w:sz w:val="36"/>
          <w:szCs w:val="36"/>
          <w:rtl/>
          <w:lang w:bidi="ar-DZ"/>
        </w:rPr>
        <w:lastRenderedPageBreak/>
        <w:t>فقدان زوجها، كما اجمع المشرعين الغاربة أن العدة لا تجب على المطلقة الغير مدخول بها.</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هذا ويترتب على الطلاق في صورة ما أثمر على أولاد حق الحضانة الذين بموجبه يظهر حق الأولاد في نفقة الحضانة، وكذا الحق في سكن ملائم لإجرائها أو بدل إيجار سكن لها.</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ويترتب على حق الحضانة للطرف الغير الحاضن حق زيارة المحضون المقررة وفق ما جاء به المشرعين المغاربة باعتباره من الحقوق التي تهدف إلى تحقيق استقرار المحضون وحسن رعايته.</w:t>
      </w:r>
    </w:p>
    <w:p w:rsidR="00BE0998" w:rsidRDefault="00BE0998" w:rsidP="00BE0998">
      <w:pPr>
        <w:bidi/>
        <w:spacing w:after="0" w:line="288" w:lineRule="auto"/>
        <w:ind w:firstLine="566"/>
        <w:jc w:val="both"/>
        <w:rPr>
          <w:rFonts w:ascii="Times New Roman" w:hAnsi="Times New Roman" w:cs="Traditional Arabic"/>
          <w:color w:val="000000"/>
          <w:spacing w:val="-14"/>
          <w:sz w:val="36"/>
          <w:szCs w:val="36"/>
          <w:rtl/>
          <w:lang w:bidi="ar-DZ"/>
        </w:rPr>
      </w:pPr>
      <w:r>
        <w:rPr>
          <w:rFonts w:ascii="Times New Roman" w:hAnsi="Times New Roman" w:cs="Traditional Arabic" w:hint="cs"/>
          <w:color w:val="000000"/>
          <w:spacing w:val="-14"/>
          <w:sz w:val="36"/>
          <w:szCs w:val="36"/>
          <w:rtl/>
          <w:lang w:bidi="ar-DZ"/>
        </w:rPr>
        <w:t>كما أن المسكن الذي يعده الزوج إذا ما تمت الفرقة بين الزوجين وثبتت الحضانة للشخص ترتب عليه عادة آثار منها سكنى الحاضنة التي تمارس فيها الحاضنة حضانتها، وهذا ما أقره المشرعين المغاربة بالتنصيص على هذه المسألة على أن يكون المسكن مقرر لجميع الأولاد هم في سن الحضانة.</w:t>
      </w:r>
    </w:p>
    <w:p w:rsidR="00BF1DB8" w:rsidRDefault="000E5E44" w:rsidP="000E5E44">
      <w:pPr>
        <w:bidi/>
        <w:spacing w:after="0" w:line="288" w:lineRule="auto"/>
        <w:jc w:val="both"/>
        <w:rPr>
          <w:rtl/>
          <w:lang w:bidi="ar-DZ"/>
        </w:rPr>
      </w:pPr>
      <w:r w:rsidRPr="000E5E44">
        <w:rPr>
          <w:rFonts w:ascii="Times New Roman" w:hAnsi="Times New Roman" w:cs="Traditional Arabic" w:hint="cs"/>
          <w:b/>
          <w:bCs/>
          <w:color w:val="000000"/>
          <w:spacing w:val="-14"/>
          <w:sz w:val="36"/>
          <w:szCs w:val="36"/>
          <w:rtl/>
          <w:lang w:bidi="ar-DZ"/>
        </w:rPr>
        <w:t xml:space="preserve">الكلمات المفتاحية: </w:t>
      </w:r>
      <w:r>
        <w:rPr>
          <w:rFonts w:ascii="Times New Roman" w:hAnsi="Times New Roman" w:cs="Traditional Arabic" w:hint="cs"/>
          <w:b/>
          <w:bCs/>
          <w:color w:val="000000"/>
          <w:spacing w:val="-14"/>
          <w:sz w:val="36"/>
          <w:szCs w:val="36"/>
          <w:rtl/>
          <w:lang w:bidi="ar-DZ"/>
        </w:rPr>
        <w:t xml:space="preserve"> </w:t>
      </w:r>
      <w:r w:rsidRPr="000E5E44">
        <w:rPr>
          <w:rFonts w:ascii="Times New Roman" w:hAnsi="Times New Roman" w:cs="Traditional Arabic" w:hint="cs"/>
          <w:color w:val="000000"/>
          <w:spacing w:val="-14"/>
          <w:sz w:val="36"/>
          <w:szCs w:val="36"/>
          <w:rtl/>
          <w:lang w:bidi="ar-DZ"/>
        </w:rPr>
        <w:t>المتعة، النفقة، الطلاق، العدة، الحضانة.</w:t>
      </w:r>
    </w:p>
    <w:sectPr w:rsidR="00BF1DB8" w:rsidSect="004913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altName w:val="Arial"/>
    <w:panose1 w:val="02020603050405020304"/>
    <w:charset w:val="00"/>
    <w:family w:val="roman"/>
    <w:pitch w:val="variable"/>
    <w:sig w:usb0="E0002AFF" w:usb1="C0007841" w:usb2="00000009" w:usb3="00000000" w:csb0="000001FF" w:csb1="00000000"/>
  </w:font>
  <w:font w:name="Traditional Arabic">
    <w:altName w:val="Noto Sans Syriac Estrangela"/>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
  <w:activeWritingStyle w:appName="MSWord" w:lang="ar-DZ" w:vendorID="64" w:dllVersion="6" w:nlCheck="1" w:checkStyle="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0998"/>
    <w:rsid w:val="000E5E44"/>
    <w:rsid w:val="00247F80"/>
    <w:rsid w:val="003E2979"/>
    <w:rsid w:val="00491301"/>
    <w:rsid w:val="0057712E"/>
    <w:rsid w:val="00824119"/>
    <w:rsid w:val="00996A4F"/>
    <w:rsid w:val="00B24E28"/>
    <w:rsid w:val="00BE0998"/>
    <w:rsid w:val="00BF1DB8"/>
    <w:rsid w:val="00C15CF9"/>
    <w:rsid w:val="00C36F24"/>
    <w:rsid w:val="00C8341A"/>
    <w:rsid w:val="00CC0999"/>
    <w:rsid w:val="00DA5CE6"/>
    <w:rsid w:val="00FA317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648A4A-8647-40FA-8C6D-9B1B5A7E4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0998"/>
    <w:pPr>
      <w:spacing w:after="160" w:line="259" w:lineRule="auto"/>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420</Words>
  <Characters>2314</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ZOUHIR BENHACHANI</cp:lastModifiedBy>
  <cp:revision>2</cp:revision>
  <dcterms:created xsi:type="dcterms:W3CDTF">2021-01-19T10:38:00Z</dcterms:created>
  <dcterms:modified xsi:type="dcterms:W3CDTF">2021-01-19T10:38:00Z</dcterms:modified>
</cp:coreProperties>
</file>