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F4D" w:rsidRPr="00215F4D" w:rsidRDefault="00215F4D" w:rsidP="00CF25C5">
      <w:pPr>
        <w:bidi/>
        <w:spacing w:after="0" w:line="240" w:lineRule="auto"/>
        <w:jc w:val="both"/>
        <w:rPr>
          <w:rFonts w:ascii="Traditional Arabic" w:eastAsia="Times New Roman" w:hAnsi="Traditional Arabic" w:cs="Traditional Arabic"/>
          <w:b/>
          <w:bCs/>
          <w:sz w:val="32"/>
          <w:szCs w:val="32"/>
          <w:highlight w:val="lightGray"/>
          <w:u w:val="single"/>
          <w:rtl/>
          <w:lang w:val="en-US" w:bidi="ar-DZ"/>
        </w:rPr>
      </w:pPr>
      <w:r w:rsidRPr="00215F4D">
        <w:rPr>
          <w:rFonts w:ascii="Traditional Arabic" w:eastAsia="Times New Roman" w:hAnsi="Traditional Arabic" w:cs="Traditional Arabic" w:hint="cs"/>
          <w:b/>
          <w:bCs/>
          <w:sz w:val="32"/>
          <w:szCs w:val="32"/>
          <w:highlight w:val="lightGray"/>
          <w:u w:val="single"/>
          <w:rtl/>
          <w:lang w:val="en-US" w:bidi="ar-DZ"/>
        </w:rPr>
        <w:t>عنوان الأطروحة:</w:t>
      </w:r>
    </w:p>
    <w:p w:rsidR="00CF25C5" w:rsidRDefault="00215F4D" w:rsidP="00215F4D">
      <w:pPr>
        <w:bidi/>
        <w:spacing w:after="0" w:line="240" w:lineRule="auto"/>
        <w:jc w:val="both"/>
        <w:rPr>
          <w:rFonts w:ascii="Simplified Arabic" w:eastAsia="Times New Roman" w:hAnsi="Simplified Arabic" w:cs="Simplified Arabic"/>
          <w:b/>
          <w:bCs/>
          <w:sz w:val="28"/>
          <w:szCs w:val="28"/>
          <w:rtl/>
          <w:lang w:val="en-US" w:bidi="ar-DZ"/>
        </w:rPr>
      </w:pPr>
      <w:r>
        <w:rPr>
          <w:rFonts w:ascii="Simplified Arabic" w:eastAsia="Times New Roman" w:hAnsi="Simplified Arabic" w:cs="Simplified Arabic" w:hint="cs"/>
          <w:b/>
          <w:bCs/>
          <w:sz w:val="28"/>
          <w:szCs w:val="28"/>
          <w:rtl/>
          <w:lang w:val="en-US" w:bidi="ar-DZ"/>
        </w:rPr>
        <w:t xml:space="preserve"> </w:t>
      </w:r>
      <w:r w:rsidR="00CF25C5" w:rsidRPr="00215F4D">
        <w:rPr>
          <w:rFonts w:ascii="Simplified Arabic" w:eastAsia="Times New Roman" w:hAnsi="Simplified Arabic" w:cs="Simplified Arabic"/>
          <w:b/>
          <w:bCs/>
          <w:sz w:val="28"/>
          <w:szCs w:val="28"/>
          <w:rtl/>
          <w:lang w:val="en-US" w:bidi="ar-DZ"/>
        </w:rPr>
        <w:t xml:space="preserve">دور </w:t>
      </w:r>
      <w:proofErr w:type="gramStart"/>
      <w:r w:rsidR="00CF25C5" w:rsidRPr="00215F4D">
        <w:rPr>
          <w:rFonts w:ascii="Simplified Arabic" w:eastAsia="Times New Roman" w:hAnsi="Simplified Arabic" w:cs="Simplified Arabic"/>
          <w:b/>
          <w:bCs/>
          <w:sz w:val="28"/>
          <w:szCs w:val="28"/>
          <w:rtl/>
          <w:lang w:val="en-US" w:bidi="ar-DZ"/>
        </w:rPr>
        <w:t>أعمال</w:t>
      </w:r>
      <w:proofErr w:type="gramEnd"/>
      <w:r w:rsidR="00CF25C5" w:rsidRPr="00215F4D">
        <w:rPr>
          <w:rFonts w:ascii="Simplified Arabic" w:eastAsia="Times New Roman" w:hAnsi="Simplified Arabic" w:cs="Simplified Arabic"/>
          <w:b/>
          <w:bCs/>
          <w:sz w:val="28"/>
          <w:szCs w:val="28"/>
          <w:rtl/>
          <w:lang w:val="en-US" w:bidi="ar-DZ"/>
        </w:rPr>
        <w:t xml:space="preserve"> هيئات الرصد المنشأة بموجب معاهدات حقوق الإنسان في تطوير القانون الدولي العام</w:t>
      </w:r>
    </w:p>
    <w:p w:rsidR="00215F4D" w:rsidRDefault="00215F4D" w:rsidP="00215F4D">
      <w:pPr>
        <w:bidi/>
        <w:spacing w:after="0" w:line="240" w:lineRule="auto"/>
        <w:jc w:val="both"/>
        <w:rPr>
          <w:rFonts w:ascii="Simplified Arabic" w:eastAsia="Times New Roman" w:hAnsi="Simplified Arabic" w:cs="Simplified Arabic"/>
          <w:b/>
          <w:bCs/>
          <w:sz w:val="28"/>
          <w:szCs w:val="28"/>
          <w:rtl/>
          <w:lang w:val="en-US" w:bidi="ar-DZ"/>
        </w:rPr>
      </w:pPr>
      <w:r w:rsidRPr="00215F4D">
        <w:rPr>
          <w:rFonts w:ascii="Traditional Arabic" w:eastAsia="Times New Roman" w:hAnsi="Traditional Arabic" w:cs="Traditional Arabic" w:hint="cs"/>
          <w:b/>
          <w:bCs/>
          <w:sz w:val="32"/>
          <w:szCs w:val="32"/>
          <w:highlight w:val="lightGray"/>
          <w:u w:val="single"/>
          <w:rtl/>
          <w:lang w:val="en-US" w:bidi="ar-DZ"/>
        </w:rPr>
        <w:t>إعداد:</w:t>
      </w:r>
      <w:r>
        <w:rPr>
          <w:rFonts w:ascii="Simplified Arabic" w:eastAsia="Times New Roman" w:hAnsi="Simplified Arabic" w:cs="Simplified Arabic" w:hint="cs"/>
          <w:b/>
          <w:bCs/>
          <w:sz w:val="28"/>
          <w:szCs w:val="28"/>
          <w:rtl/>
          <w:lang w:val="en-US" w:bidi="ar-DZ"/>
        </w:rPr>
        <w:t xml:space="preserve"> </w:t>
      </w:r>
    </w:p>
    <w:p w:rsidR="00215F4D" w:rsidRPr="00215F4D" w:rsidRDefault="00215F4D" w:rsidP="00215F4D">
      <w:pPr>
        <w:bidi/>
        <w:spacing w:after="0" w:line="240" w:lineRule="auto"/>
        <w:jc w:val="both"/>
        <w:rPr>
          <w:rFonts w:ascii="Simplified Arabic" w:eastAsia="Times New Roman" w:hAnsi="Simplified Arabic" w:cs="Simplified Arabic"/>
          <w:b/>
          <w:bCs/>
          <w:sz w:val="28"/>
          <w:szCs w:val="28"/>
          <w:rtl/>
          <w:lang w:val="en-US" w:bidi="ar-DZ"/>
        </w:rPr>
      </w:pPr>
      <w:r>
        <w:rPr>
          <w:rFonts w:ascii="Simplified Arabic" w:eastAsia="Times New Roman" w:hAnsi="Simplified Arabic" w:cs="Simplified Arabic" w:hint="cs"/>
          <w:b/>
          <w:bCs/>
          <w:sz w:val="28"/>
          <w:szCs w:val="28"/>
          <w:rtl/>
          <w:lang w:val="en-US" w:bidi="ar-DZ"/>
        </w:rPr>
        <w:t xml:space="preserve">عبد الله </w:t>
      </w:r>
      <w:proofErr w:type="spellStart"/>
      <w:r>
        <w:rPr>
          <w:rFonts w:ascii="Simplified Arabic" w:eastAsia="Times New Roman" w:hAnsi="Simplified Arabic" w:cs="Simplified Arabic" w:hint="cs"/>
          <w:b/>
          <w:bCs/>
          <w:sz w:val="28"/>
          <w:szCs w:val="28"/>
          <w:rtl/>
          <w:lang w:val="en-US" w:bidi="ar-DZ"/>
        </w:rPr>
        <w:t>بونخل</w:t>
      </w:r>
      <w:proofErr w:type="spellEnd"/>
    </w:p>
    <w:p w:rsidR="00CF25C5" w:rsidRDefault="00CF25C5" w:rsidP="00CF25C5">
      <w:pPr>
        <w:bidi/>
        <w:spacing w:after="0" w:line="240" w:lineRule="auto"/>
        <w:jc w:val="both"/>
        <w:rPr>
          <w:rFonts w:ascii="Traditional Arabic" w:eastAsia="Times New Roman" w:hAnsi="Traditional Arabic" w:cs="Traditional Arabic"/>
          <w:b/>
          <w:bCs/>
          <w:sz w:val="32"/>
          <w:szCs w:val="32"/>
          <w:highlight w:val="lightGray"/>
          <w:u w:val="single"/>
          <w:rtl/>
          <w:lang w:val="en-US" w:bidi="ar-DZ"/>
        </w:rPr>
      </w:pPr>
    </w:p>
    <w:p w:rsidR="00CF25C5" w:rsidRPr="00903AE8" w:rsidRDefault="00CF25C5" w:rsidP="00CF25C5">
      <w:pPr>
        <w:bidi/>
        <w:spacing w:after="0" w:line="240" w:lineRule="auto"/>
        <w:jc w:val="both"/>
        <w:rPr>
          <w:rFonts w:ascii="Traditional Arabic" w:eastAsia="Times New Roman" w:hAnsi="Traditional Arabic" w:cs="Traditional Arabic"/>
          <w:b/>
          <w:bCs/>
          <w:sz w:val="32"/>
          <w:szCs w:val="32"/>
          <w:u w:val="single"/>
          <w:lang w:val="en-US" w:bidi="ar-DZ"/>
        </w:rPr>
      </w:pPr>
      <w:r w:rsidRPr="00903AE8">
        <w:rPr>
          <w:rFonts w:ascii="Traditional Arabic" w:eastAsia="Times New Roman" w:hAnsi="Traditional Arabic" w:cs="Traditional Arabic" w:hint="cs"/>
          <w:b/>
          <w:bCs/>
          <w:sz w:val="32"/>
          <w:szCs w:val="32"/>
          <w:highlight w:val="lightGray"/>
          <w:u w:val="single"/>
          <w:rtl/>
          <w:lang w:val="en-US" w:bidi="ar-DZ"/>
        </w:rPr>
        <w:t>الكلمات ال</w:t>
      </w:r>
      <w:r>
        <w:rPr>
          <w:rFonts w:ascii="Traditional Arabic" w:eastAsia="Times New Roman" w:hAnsi="Traditional Arabic" w:cs="Traditional Arabic" w:hint="cs"/>
          <w:b/>
          <w:bCs/>
          <w:sz w:val="32"/>
          <w:szCs w:val="32"/>
          <w:highlight w:val="lightGray"/>
          <w:u w:val="single"/>
          <w:rtl/>
          <w:lang w:val="en-US" w:bidi="ar-DZ"/>
        </w:rPr>
        <w:t>مفتاحية</w:t>
      </w:r>
      <w:r>
        <w:rPr>
          <w:rFonts w:ascii="Traditional Arabic" w:eastAsia="Times New Roman" w:hAnsi="Traditional Arabic" w:cs="Traditional Arabic" w:hint="cs"/>
          <w:b/>
          <w:bCs/>
          <w:sz w:val="32"/>
          <w:szCs w:val="32"/>
          <w:u w:val="single"/>
          <w:rtl/>
          <w:lang w:val="en-US" w:bidi="ar-DZ"/>
        </w:rPr>
        <w:t>:</w:t>
      </w:r>
    </w:p>
    <w:p w:rsidR="00CF25C5" w:rsidRPr="00215F4D" w:rsidRDefault="00CF25C5" w:rsidP="00215F4D">
      <w:pPr>
        <w:bidi/>
        <w:spacing w:line="240" w:lineRule="auto"/>
        <w:jc w:val="both"/>
        <w:rPr>
          <w:rFonts w:ascii="Simplified Arabic" w:hAnsi="Simplified Arabic" w:cs="Simplified Arabic"/>
          <w:sz w:val="28"/>
          <w:szCs w:val="28"/>
          <w:rtl/>
          <w:lang w:val="en-GB" w:bidi="ar-DZ"/>
        </w:rPr>
      </w:pPr>
      <w:proofErr w:type="gramStart"/>
      <w:r w:rsidRPr="00215F4D">
        <w:rPr>
          <w:rFonts w:ascii="Simplified Arabic" w:hAnsi="Simplified Arabic" w:cs="Simplified Arabic" w:hint="cs"/>
          <w:sz w:val="28"/>
          <w:szCs w:val="28"/>
          <w:rtl/>
          <w:lang w:val="en-GB" w:bidi="ar-DZ"/>
        </w:rPr>
        <w:t>هيئات</w:t>
      </w:r>
      <w:proofErr w:type="gramEnd"/>
      <w:r w:rsidRPr="00215F4D">
        <w:rPr>
          <w:rFonts w:ascii="Simplified Arabic" w:hAnsi="Simplified Arabic" w:cs="Simplified Arabic" w:hint="cs"/>
          <w:sz w:val="28"/>
          <w:szCs w:val="28"/>
          <w:rtl/>
          <w:lang w:val="en-GB" w:bidi="ar-DZ"/>
        </w:rPr>
        <w:t xml:space="preserve"> </w:t>
      </w:r>
      <w:r w:rsidR="00751DDC" w:rsidRPr="00215F4D">
        <w:rPr>
          <w:rFonts w:ascii="Simplified Arabic" w:hAnsi="Simplified Arabic" w:cs="Simplified Arabic" w:hint="cs"/>
          <w:sz w:val="28"/>
          <w:szCs w:val="28"/>
          <w:rtl/>
          <w:lang w:val="en-GB" w:bidi="ar-DZ"/>
        </w:rPr>
        <w:t>الرصد</w:t>
      </w:r>
      <w:r w:rsidRPr="00215F4D">
        <w:rPr>
          <w:rFonts w:ascii="Simplified Arabic" w:hAnsi="Simplified Arabic" w:cs="Simplified Arabic" w:hint="cs"/>
          <w:sz w:val="28"/>
          <w:szCs w:val="28"/>
          <w:rtl/>
          <w:lang w:val="en-GB" w:bidi="ar-DZ"/>
        </w:rPr>
        <w:t xml:space="preserve">، </w:t>
      </w:r>
      <w:r w:rsidR="00751DDC" w:rsidRPr="00215F4D">
        <w:rPr>
          <w:rFonts w:ascii="Simplified Arabic" w:hAnsi="Simplified Arabic" w:cs="Simplified Arabic" w:hint="cs"/>
          <w:sz w:val="28"/>
          <w:szCs w:val="28"/>
          <w:rtl/>
          <w:lang w:val="en-GB" w:bidi="ar-DZ"/>
        </w:rPr>
        <w:t xml:space="preserve">هيئات رصد معاهدات حقوق الإنسان، </w:t>
      </w:r>
      <w:r w:rsidRPr="00215F4D">
        <w:rPr>
          <w:rFonts w:ascii="Simplified Arabic" w:hAnsi="Simplified Arabic" w:cs="Simplified Arabic" w:hint="cs"/>
          <w:sz w:val="28"/>
          <w:szCs w:val="28"/>
          <w:rtl/>
          <w:lang w:val="en-GB" w:bidi="ar-DZ"/>
        </w:rPr>
        <w:t xml:space="preserve">المحاكم الإقليمية لحقوق الإنسان، القانون الدولي العام، اللجنة المعنية </w:t>
      </w:r>
      <w:r w:rsidR="00751DDC" w:rsidRPr="00215F4D">
        <w:rPr>
          <w:rFonts w:ascii="Simplified Arabic" w:hAnsi="Simplified Arabic" w:cs="Simplified Arabic" w:hint="cs"/>
          <w:sz w:val="28"/>
          <w:szCs w:val="28"/>
          <w:rtl/>
          <w:lang w:val="en-GB" w:bidi="ar-DZ"/>
        </w:rPr>
        <w:t>ل</w:t>
      </w:r>
      <w:r w:rsidRPr="00215F4D">
        <w:rPr>
          <w:rFonts w:ascii="Simplified Arabic" w:hAnsi="Simplified Arabic" w:cs="Simplified Arabic" w:hint="cs"/>
          <w:sz w:val="28"/>
          <w:szCs w:val="28"/>
          <w:rtl/>
          <w:lang w:val="en-GB" w:bidi="ar-DZ"/>
        </w:rPr>
        <w:t>حقوق الإنسان،</w:t>
      </w:r>
      <w:r w:rsidR="00751DDC" w:rsidRPr="00215F4D">
        <w:rPr>
          <w:rFonts w:ascii="Simplified Arabic" w:hAnsi="Simplified Arabic" w:cs="Simplified Arabic" w:hint="cs"/>
          <w:sz w:val="28"/>
          <w:szCs w:val="28"/>
          <w:rtl/>
          <w:lang w:val="en-GB" w:bidi="ar-DZ"/>
        </w:rPr>
        <w:t xml:space="preserve"> المحكمة الأور</w:t>
      </w:r>
      <w:r w:rsidR="00A100F2" w:rsidRPr="00215F4D">
        <w:rPr>
          <w:rFonts w:ascii="Simplified Arabic" w:hAnsi="Simplified Arabic" w:cs="Simplified Arabic" w:hint="cs"/>
          <w:sz w:val="28"/>
          <w:szCs w:val="28"/>
          <w:rtl/>
          <w:lang w:val="en-GB" w:bidi="ar-DZ"/>
        </w:rPr>
        <w:t>و</w:t>
      </w:r>
      <w:r w:rsidR="00751DDC" w:rsidRPr="00215F4D">
        <w:rPr>
          <w:rFonts w:ascii="Simplified Arabic" w:hAnsi="Simplified Arabic" w:cs="Simplified Arabic" w:hint="cs"/>
          <w:sz w:val="28"/>
          <w:szCs w:val="28"/>
          <w:rtl/>
          <w:lang w:val="en-GB" w:bidi="ar-DZ"/>
        </w:rPr>
        <w:t>بية لحقوق الإنسان</w:t>
      </w:r>
      <w:r w:rsidRPr="00215F4D">
        <w:rPr>
          <w:rFonts w:ascii="Simplified Arabic" w:hAnsi="Simplified Arabic" w:cs="Simplified Arabic" w:hint="cs"/>
          <w:sz w:val="28"/>
          <w:szCs w:val="28"/>
          <w:rtl/>
          <w:lang w:val="en-GB" w:bidi="ar-DZ"/>
        </w:rPr>
        <w:t>.</w:t>
      </w:r>
    </w:p>
    <w:p w:rsidR="00DC4E34" w:rsidRPr="00CF25C5" w:rsidRDefault="00CF25C5" w:rsidP="00CF25C5">
      <w:pPr>
        <w:bidi/>
        <w:spacing w:after="0" w:line="240" w:lineRule="auto"/>
        <w:jc w:val="both"/>
        <w:rPr>
          <w:rFonts w:ascii="Traditional Arabic" w:eastAsia="Times New Roman" w:hAnsi="Traditional Arabic" w:cs="Traditional Arabic"/>
          <w:b/>
          <w:bCs/>
          <w:sz w:val="32"/>
          <w:szCs w:val="32"/>
          <w:highlight w:val="lightGray"/>
          <w:u w:val="single"/>
          <w:rtl/>
          <w:lang w:val="en-US" w:bidi="ar-DZ"/>
        </w:rPr>
      </w:pPr>
      <w:r>
        <w:rPr>
          <w:rFonts w:ascii="Traditional Arabic" w:eastAsia="Times New Roman" w:hAnsi="Traditional Arabic" w:cs="Traditional Arabic" w:hint="cs"/>
          <w:b/>
          <w:bCs/>
          <w:sz w:val="32"/>
          <w:szCs w:val="32"/>
          <w:highlight w:val="lightGray"/>
          <w:u w:val="single"/>
          <w:rtl/>
          <w:lang w:val="en-US" w:bidi="ar-DZ"/>
        </w:rPr>
        <w:t>ال</w:t>
      </w:r>
      <w:r w:rsidR="00DC4E34" w:rsidRPr="00CF25C5">
        <w:rPr>
          <w:rFonts w:ascii="Traditional Arabic" w:eastAsia="Times New Roman" w:hAnsi="Traditional Arabic" w:cs="Traditional Arabic" w:hint="cs"/>
          <w:b/>
          <w:bCs/>
          <w:sz w:val="32"/>
          <w:szCs w:val="32"/>
          <w:highlight w:val="lightGray"/>
          <w:u w:val="single"/>
          <w:rtl/>
          <w:lang w:val="en-US" w:bidi="ar-DZ"/>
        </w:rPr>
        <w:t>ملخّص</w:t>
      </w:r>
    </w:p>
    <w:p w:rsidR="00DC4E34" w:rsidRDefault="00C507F3" w:rsidP="00CC33FB">
      <w:pPr>
        <w:bidi/>
        <w:spacing w:line="240" w:lineRule="auto"/>
        <w:jc w:val="both"/>
        <w:rPr>
          <w:rFonts w:ascii="Simplified Arabic" w:hAnsi="Simplified Arabic" w:cs="Simplified Arabic"/>
          <w:sz w:val="28"/>
          <w:szCs w:val="28"/>
          <w:lang w:val="en-GB" w:bidi="ar-DZ"/>
        </w:rPr>
      </w:pPr>
      <w:r>
        <w:rPr>
          <w:rFonts w:ascii="Simplified Arabic" w:hAnsi="Simplified Arabic" w:cs="Simplified Arabic" w:hint="cs"/>
          <w:sz w:val="28"/>
          <w:szCs w:val="28"/>
          <w:rtl/>
          <w:lang w:val="en-GB" w:bidi="ar-DZ"/>
        </w:rPr>
        <w:t xml:space="preserve">       </w:t>
      </w:r>
      <w:r w:rsidR="00DC4E34" w:rsidRPr="00D066CC">
        <w:rPr>
          <w:rFonts w:ascii="Simplified Arabic" w:hAnsi="Simplified Arabic" w:cs="Simplified Arabic" w:hint="cs"/>
          <w:sz w:val="28"/>
          <w:szCs w:val="28"/>
          <w:rtl/>
          <w:lang w:val="en-GB" w:bidi="ar-DZ"/>
        </w:rPr>
        <w:t>تعتبر أعمال هيئات رصد معاهدات حقوق الانسان المنشأة على مستوى الأمم المتحدة</w:t>
      </w:r>
      <w:r w:rsidR="00254920">
        <w:rPr>
          <w:rFonts w:ascii="Simplified Arabic" w:hAnsi="Simplified Arabic" w:cs="Simplified Arabic" w:hint="cs"/>
          <w:sz w:val="28"/>
          <w:szCs w:val="28"/>
          <w:rtl/>
          <w:lang w:val="en-GB" w:bidi="ar-DZ"/>
        </w:rPr>
        <w:t xml:space="preserve"> إضافة إلى</w:t>
      </w:r>
      <w:r w:rsidR="00DC4E34" w:rsidRPr="00D066CC">
        <w:rPr>
          <w:rFonts w:ascii="Simplified Arabic" w:hAnsi="Simplified Arabic" w:cs="Simplified Arabic" w:hint="cs"/>
          <w:sz w:val="28"/>
          <w:szCs w:val="28"/>
          <w:rtl/>
          <w:lang w:val="en-GB" w:bidi="ar-DZ"/>
        </w:rPr>
        <w:t xml:space="preserve"> </w:t>
      </w:r>
      <w:r w:rsidR="00254920">
        <w:rPr>
          <w:rFonts w:ascii="Simplified Arabic" w:hAnsi="Simplified Arabic" w:cs="Simplified Arabic" w:hint="cs"/>
          <w:sz w:val="28"/>
          <w:szCs w:val="28"/>
          <w:rtl/>
          <w:lang w:val="en-GB" w:bidi="ar-DZ"/>
        </w:rPr>
        <w:t>ال</w:t>
      </w:r>
      <w:r w:rsidR="00DC4E34" w:rsidRPr="00D066CC">
        <w:rPr>
          <w:rFonts w:ascii="Simplified Arabic" w:hAnsi="Simplified Arabic" w:cs="Simplified Arabic" w:hint="cs"/>
          <w:sz w:val="28"/>
          <w:szCs w:val="28"/>
          <w:rtl/>
          <w:lang w:val="en-GB" w:bidi="ar-DZ"/>
        </w:rPr>
        <w:t>سوابق</w:t>
      </w:r>
      <w:r w:rsidR="00254920">
        <w:rPr>
          <w:rFonts w:ascii="Simplified Arabic" w:hAnsi="Simplified Arabic" w:cs="Simplified Arabic" w:hint="cs"/>
          <w:sz w:val="28"/>
          <w:szCs w:val="28"/>
          <w:rtl/>
          <w:lang w:val="en-GB" w:bidi="ar-DZ"/>
        </w:rPr>
        <w:t xml:space="preserve"> القضائية لل</w:t>
      </w:r>
      <w:r w:rsidR="00DC4E34" w:rsidRPr="00D066CC">
        <w:rPr>
          <w:rFonts w:ascii="Simplified Arabic" w:hAnsi="Simplified Arabic" w:cs="Simplified Arabic" w:hint="cs"/>
          <w:sz w:val="28"/>
          <w:szCs w:val="28"/>
          <w:rtl/>
          <w:lang w:val="en-GB" w:bidi="ar-DZ"/>
        </w:rPr>
        <w:t>محاكم الاقليمية لحقوق الانسان</w:t>
      </w:r>
      <w:r w:rsidR="00254920">
        <w:rPr>
          <w:rFonts w:ascii="Simplified Arabic" w:hAnsi="Simplified Arabic" w:cs="Simplified Arabic" w:hint="cs"/>
          <w:sz w:val="28"/>
          <w:szCs w:val="28"/>
          <w:rtl/>
          <w:lang w:val="en-GB" w:bidi="ar-DZ"/>
        </w:rPr>
        <w:t>،</w:t>
      </w:r>
      <w:r w:rsidR="00DC4E34" w:rsidRPr="00D066CC">
        <w:rPr>
          <w:rFonts w:ascii="Simplified Arabic" w:hAnsi="Simplified Arabic" w:cs="Simplified Arabic" w:hint="cs"/>
          <w:sz w:val="28"/>
          <w:szCs w:val="28"/>
          <w:rtl/>
          <w:lang w:val="en-GB" w:bidi="ar-DZ"/>
        </w:rPr>
        <w:t xml:space="preserve"> ذات قيمة فقهية وقانونية كبيرة بالنسبة للقانون الدولي لحقوق الانسان، ليس فقط بمساهمتها في امتثال الدول للحقوق الواردة في الصكوك الدولية والاقليمية لحقوق الانسان بل بتطويرها للحقوق المحمية وإنشاء حقوق جديدة بما يعزز الحماية الدولية لحقوق الانسان. وفي سياق </w:t>
      </w:r>
      <w:proofErr w:type="spellStart"/>
      <w:r w:rsidR="00DC4E34" w:rsidRPr="00D066CC">
        <w:rPr>
          <w:rFonts w:ascii="Simplified Arabic" w:hAnsi="Simplified Arabic" w:cs="Simplified Arabic" w:hint="cs"/>
          <w:sz w:val="28"/>
          <w:szCs w:val="28"/>
          <w:rtl/>
          <w:lang w:val="en-GB" w:bidi="ar-DZ"/>
        </w:rPr>
        <w:t>أنسنة</w:t>
      </w:r>
      <w:proofErr w:type="spellEnd"/>
      <w:r w:rsidR="00DC4E34" w:rsidRPr="00D066CC">
        <w:rPr>
          <w:rFonts w:ascii="Simplified Arabic" w:hAnsi="Simplified Arabic" w:cs="Simplified Arabic" w:hint="cs"/>
          <w:sz w:val="28"/>
          <w:szCs w:val="28"/>
          <w:rtl/>
          <w:lang w:val="en-GB" w:bidi="ar-DZ"/>
        </w:rPr>
        <w:t xml:space="preserve"> القانون الدولي والتأثيرات العميقة التي أصبحت حقوق الانسان تحدثها في مختلف مجالات القانون الدولي، كان لأعمال هاته الهيئات دور</w:t>
      </w:r>
      <w:r w:rsidR="00D0151D">
        <w:rPr>
          <w:rFonts w:ascii="Simplified Arabic" w:hAnsi="Simplified Arabic" w:cs="Simplified Arabic" w:hint="cs"/>
          <w:sz w:val="28"/>
          <w:szCs w:val="28"/>
          <w:rtl/>
          <w:lang w:val="en-GB" w:bidi="ar-DZ"/>
        </w:rPr>
        <w:t>ا</w:t>
      </w:r>
      <w:r w:rsidR="00DC4E34" w:rsidRPr="00D066CC">
        <w:rPr>
          <w:rFonts w:ascii="Simplified Arabic" w:hAnsi="Simplified Arabic" w:cs="Simplified Arabic" w:hint="cs"/>
          <w:sz w:val="28"/>
          <w:szCs w:val="28"/>
          <w:rtl/>
          <w:lang w:val="en-GB" w:bidi="ar-DZ"/>
        </w:rPr>
        <w:t xml:space="preserve"> مهم</w:t>
      </w:r>
      <w:r w:rsidR="00D0151D">
        <w:rPr>
          <w:rFonts w:ascii="Simplified Arabic" w:hAnsi="Simplified Arabic" w:cs="Simplified Arabic" w:hint="cs"/>
          <w:sz w:val="28"/>
          <w:szCs w:val="28"/>
          <w:rtl/>
          <w:lang w:val="en-GB" w:bidi="ar-DZ"/>
        </w:rPr>
        <w:t>ّا</w:t>
      </w:r>
      <w:r w:rsidR="00DC4E34" w:rsidRPr="00D066CC">
        <w:rPr>
          <w:rFonts w:ascii="Simplified Arabic" w:hAnsi="Simplified Arabic" w:cs="Simplified Arabic" w:hint="cs"/>
          <w:sz w:val="28"/>
          <w:szCs w:val="28"/>
          <w:rtl/>
          <w:lang w:val="en-GB" w:bidi="ar-DZ"/>
        </w:rPr>
        <w:t xml:space="preserve"> في إضفاء الطابع الحقوقي على كثير من قواعد القانون الدولي لا سيّما قواعد المسؤولية الدولية بما فيها الحدّ من النطاق المادي للحصانة الموضوعية لمسؤولي الدول من الولاية القضائية الجنائية الأجنبية، </w:t>
      </w:r>
      <w:r w:rsidR="00D0151D">
        <w:rPr>
          <w:rFonts w:ascii="Simplified Arabic" w:hAnsi="Simplified Arabic" w:cs="Simplified Arabic" w:hint="cs"/>
          <w:sz w:val="28"/>
          <w:szCs w:val="28"/>
          <w:rtl/>
          <w:lang w:val="en-GB" w:bidi="ar-DZ"/>
        </w:rPr>
        <w:t xml:space="preserve">تجلّى ذلك </w:t>
      </w:r>
      <w:r w:rsidR="00DC4E34" w:rsidRPr="00D066CC">
        <w:rPr>
          <w:rFonts w:ascii="Simplified Arabic" w:hAnsi="Simplified Arabic" w:cs="Simplified Arabic" w:hint="cs"/>
          <w:sz w:val="28"/>
          <w:szCs w:val="28"/>
          <w:rtl/>
          <w:lang w:val="en-GB" w:bidi="ar-DZ"/>
        </w:rPr>
        <w:t>من خلال خلق اتج</w:t>
      </w:r>
      <w:bookmarkStart w:id="0" w:name="_GoBack"/>
      <w:bookmarkEnd w:id="0"/>
      <w:r w:rsidR="00DC4E34" w:rsidRPr="00D066CC">
        <w:rPr>
          <w:rFonts w:ascii="Simplified Arabic" w:hAnsi="Simplified Arabic" w:cs="Simplified Arabic" w:hint="cs"/>
          <w:sz w:val="28"/>
          <w:szCs w:val="28"/>
          <w:rtl/>
          <w:lang w:val="en-GB" w:bidi="ar-DZ"/>
        </w:rPr>
        <w:t>اهات فقهية مؤيّدة لتفسيراتها</w:t>
      </w:r>
      <w:r w:rsidR="00605585">
        <w:rPr>
          <w:rFonts w:ascii="Simplified Arabic" w:hAnsi="Simplified Arabic" w:cs="Simplified Arabic" w:hint="cs"/>
          <w:sz w:val="28"/>
          <w:szCs w:val="28"/>
          <w:rtl/>
          <w:lang w:val="en-GB" w:bidi="ar-DZ"/>
        </w:rPr>
        <w:t xml:space="preserve"> لنصوص ا</w:t>
      </w:r>
      <w:r w:rsidR="00DC4E34" w:rsidRPr="00D066CC">
        <w:rPr>
          <w:rFonts w:ascii="Simplified Arabic" w:hAnsi="Simplified Arabic" w:cs="Simplified Arabic" w:hint="cs"/>
          <w:sz w:val="28"/>
          <w:szCs w:val="28"/>
          <w:rtl/>
          <w:lang w:val="en-GB" w:bidi="ar-DZ"/>
        </w:rPr>
        <w:t xml:space="preserve">لصكوك الدولية لحقوق الانسان، رغم أنّها في بعض الأحيان جاءت مخالفة لما استقرّت عليه الممارسة الدولية. </w:t>
      </w:r>
      <w:r w:rsidR="00D0151D">
        <w:rPr>
          <w:rFonts w:ascii="Simplified Arabic" w:hAnsi="Simplified Arabic" w:cs="Simplified Arabic" w:hint="cs"/>
          <w:sz w:val="28"/>
          <w:szCs w:val="28"/>
          <w:rtl/>
          <w:lang w:val="en-GB" w:bidi="ar-DZ"/>
        </w:rPr>
        <w:t xml:space="preserve">كما </w:t>
      </w:r>
      <w:r w:rsidR="00DC4E34" w:rsidRPr="00D066CC">
        <w:rPr>
          <w:rFonts w:ascii="Simplified Arabic" w:hAnsi="Simplified Arabic" w:cs="Simplified Arabic" w:hint="cs"/>
          <w:sz w:val="28"/>
          <w:szCs w:val="28"/>
          <w:rtl/>
          <w:lang w:val="en-GB" w:bidi="ar-DZ"/>
        </w:rPr>
        <w:t>كان لسوابق المحاكم الإقليمية لحقوق الإنسان، التي تعزّزت بتفسيرات مؤيّدة لها من هيئات الرصد المنشأة على مستوى الأمم المتحدة</w:t>
      </w:r>
      <w:r w:rsidR="00CC33FB">
        <w:rPr>
          <w:rFonts w:ascii="Simplified Arabic" w:hAnsi="Simplified Arabic" w:cs="Simplified Arabic" w:hint="cs"/>
          <w:sz w:val="28"/>
          <w:szCs w:val="28"/>
          <w:rtl/>
          <w:lang w:bidi="ar-DZ"/>
        </w:rPr>
        <w:t>،</w:t>
      </w:r>
      <w:r w:rsidR="00DC4E34" w:rsidRPr="00D066CC">
        <w:rPr>
          <w:rFonts w:ascii="Simplified Arabic" w:hAnsi="Simplified Arabic" w:cs="Simplified Arabic" w:hint="cs"/>
          <w:sz w:val="28"/>
          <w:szCs w:val="28"/>
          <w:rtl/>
          <w:lang w:val="en-GB" w:bidi="ar-DZ"/>
        </w:rPr>
        <w:t xml:space="preserve">  دورا مباشرا في إحداث تعديلات جوهرية في عدد من </w:t>
      </w:r>
      <w:r w:rsidR="00CC33FB">
        <w:rPr>
          <w:rFonts w:ascii="Simplified Arabic" w:hAnsi="Simplified Arabic" w:cs="Simplified Arabic" w:hint="cs"/>
          <w:sz w:val="28"/>
          <w:szCs w:val="28"/>
          <w:rtl/>
          <w:lang w:val="en-GB" w:bidi="ar-DZ"/>
        </w:rPr>
        <w:t>ال</w:t>
      </w:r>
      <w:r w:rsidR="00DC4E34" w:rsidRPr="00D066CC">
        <w:rPr>
          <w:rFonts w:ascii="Simplified Arabic" w:hAnsi="Simplified Arabic" w:cs="Simplified Arabic" w:hint="cs"/>
          <w:sz w:val="28"/>
          <w:szCs w:val="28"/>
          <w:rtl/>
          <w:lang w:val="en-GB" w:bidi="ar-DZ"/>
        </w:rPr>
        <w:t>قواعد</w:t>
      </w:r>
      <w:r w:rsidR="00CC33FB">
        <w:rPr>
          <w:rFonts w:ascii="Simplified Arabic" w:hAnsi="Simplified Arabic" w:cs="Simplified Arabic" w:hint="cs"/>
          <w:sz w:val="28"/>
          <w:szCs w:val="28"/>
          <w:rtl/>
          <w:lang w:val="en-GB" w:bidi="ar-DZ"/>
        </w:rPr>
        <w:t xml:space="preserve"> الراسخة ل</w:t>
      </w:r>
      <w:r w:rsidR="00DC4E34" w:rsidRPr="00D066CC">
        <w:rPr>
          <w:rFonts w:ascii="Simplified Arabic" w:hAnsi="Simplified Arabic" w:cs="Simplified Arabic" w:hint="cs"/>
          <w:sz w:val="28"/>
          <w:szCs w:val="28"/>
          <w:rtl/>
          <w:lang w:val="en-GB" w:bidi="ar-DZ"/>
        </w:rPr>
        <w:t xml:space="preserve">لقانون الدولي </w:t>
      </w:r>
      <w:r w:rsidR="00DC4E34" w:rsidRPr="00CA59E7">
        <w:rPr>
          <w:rFonts w:ascii="Simplified Arabic" w:hAnsi="Simplified Arabic" w:cs="Simplified Arabic" w:hint="cs"/>
          <w:sz w:val="28"/>
          <w:szCs w:val="28"/>
          <w:rtl/>
          <w:lang w:val="en-GB" w:bidi="ar-DZ"/>
        </w:rPr>
        <w:t>العام</w:t>
      </w:r>
      <w:r w:rsidR="00CC33FB">
        <w:rPr>
          <w:rFonts w:ascii="Simplified Arabic" w:hAnsi="Simplified Arabic" w:cs="Simplified Arabic" w:hint="cs"/>
          <w:sz w:val="28"/>
          <w:szCs w:val="28"/>
          <w:rtl/>
          <w:lang w:val="en-GB" w:bidi="ar-DZ"/>
        </w:rPr>
        <w:t xml:space="preserve"> </w:t>
      </w:r>
      <w:r w:rsidR="00DC4E34" w:rsidRPr="00D066CC">
        <w:rPr>
          <w:rFonts w:ascii="Simplified Arabic" w:hAnsi="Simplified Arabic" w:cs="Simplified Arabic" w:hint="cs"/>
          <w:sz w:val="28"/>
          <w:szCs w:val="28"/>
          <w:rtl/>
          <w:lang w:val="en-GB" w:bidi="ar-DZ"/>
        </w:rPr>
        <w:t>مثل تعديل نظام تقدير صحة التحفظ على المعاهدات الدولية و تطوير طرق تفسير خاصة مختلفة عن القواعد العامة للتفسير.</w:t>
      </w:r>
    </w:p>
    <w:p w:rsidR="00CD08B0" w:rsidRPr="00CD08B0" w:rsidRDefault="00CD08B0" w:rsidP="00CD08B0">
      <w:pPr>
        <w:spacing w:line="240" w:lineRule="auto"/>
        <w:jc w:val="both"/>
        <w:rPr>
          <w:rFonts w:asciiTheme="majorBidi" w:hAnsiTheme="majorBidi" w:cstheme="majorBidi"/>
          <w:b/>
          <w:bCs/>
          <w:sz w:val="24"/>
          <w:szCs w:val="24"/>
          <w:lang w:val="en-GB" w:bidi="ar-DZ"/>
        </w:rPr>
      </w:pPr>
      <w:r w:rsidRPr="00CD08B0">
        <w:rPr>
          <w:rFonts w:asciiTheme="majorBidi" w:hAnsiTheme="majorBidi" w:cstheme="majorBidi"/>
          <w:b/>
          <w:bCs/>
          <w:sz w:val="24"/>
          <w:szCs w:val="24"/>
          <w:lang w:val="en-GB" w:bidi="ar-DZ"/>
        </w:rPr>
        <w:t xml:space="preserve">The role of the work of </w:t>
      </w:r>
      <w:proofErr w:type="gramStart"/>
      <w:r w:rsidRPr="00CD08B0">
        <w:rPr>
          <w:rFonts w:asciiTheme="majorBidi" w:hAnsiTheme="majorBidi" w:cstheme="majorBidi"/>
          <w:b/>
          <w:bCs/>
          <w:sz w:val="24"/>
          <w:szCs w:val="24"/>
          <w:lang w:val="en-GB" w:bidi="ar-DZ"/>
        </w:rPr>
        <w:t>Monitoring</w:t>
      </w:r>
      <w:proofErr w:type="gramEnd"/>
      <w:r w:rsidRPr="00CD08B0">
        <w:rPr>
          <w:rFonts w:asciiTheme="majorBidi" w:hAnsiTheme="majorBidi" w:cstheme="majorBidi"/>
          <w:b/>
          <w:bCs/>
          <w:sz w:val="24"/>
          <w:szCs w:val="24"/>
          <w:lang w:val="en-GB" w:bidi="ar-DZ"/>
        </w:rPr>
        <w:t xml:space="preserve"> bodies</w:t>
      </w:r>
      <w:r w:rsidR="00CD0DDD">
        <w:rPr>
          <w:rFonts w:asciiTheme="majorBidi" w:hAnsiTheme="majorBidi" w:cstheme="majorBidi"/>
          <w:b/>
          <w:bCs/>
          <w:sz w:val="24"/>
          <w:szCs w:val="24"/>
          <w:lang w:val="en-GB" w:bidi="ar-DZ"/>
        </w:rPr>
        <w:t>,</w:t>
      </w:r>
      <w:r w:rsidRPr="00CD08B0">
        <w:rPr>
          <w:rFonts w:asciiTheme="majorBidi" w:hAnsiTheme="majorBidi" w:cstheme="majorBidi"/>
          <w:b/>
          <w:bCs/>
          <w:sz w:val="24"/>
          <w:szCs w:val="24"/>
          <w:lang w:val="en-GB" w:bidi="ar-DZ"/>
        </w:rPr>
        <w:t xml:space="preserve"> established by human rights treaties</w:t>
      </w:r>
      <w:r w:rsidR="00CD0DDD">
        <w:rPr>
          <w:rFonts w:asciiTheme="majorBidi" w:hAnsiTheme="majorBidi" w:cstheme="majorBidi"/>
          <w:b/>
          <w:bCs/>
          <w:sz w:val="24"/>
          <w:szCs w:val="24"/>
          <w:lang w:val="en-GB" w:bidi="ar-DZ"/>
        </w:rPr>
        <w:t>,</w:t>
      </w:r>
      <w:r w:rsidRPr="00CD08B0">
        <w:rPr>
          <w:rFonts w:asciiTheme="majorBidi" w:hAnsiTheme="majorBidi" w:cstheme="majorBidi"/>
          <w:b/>
          <w:bCs/>
          <w:sz w:val="24"/>
          <w:szCs w:val="24"/>
          <w:lang w:val="en-GB" w:bidi="ar-DZ"/>
        </w:rPr>
        <w:t xml:space="preserve"> in the development of public international law</w:t>
      </w:r>
    </w:p>
    <w:p w:rsidR="00CF25C5" w:rsidRPr="00215F4D" w:rsidRDefault="00CF25C5" w:rsidP="00215F4D">
      <w:pPr>
        <w:spacing w:after="0" w:line="240" w:lineRule="auto"/>
        <w:jc w:val="both"/>
        <w:rPr>
          <w:rFonts w:asciiTheme="majorBidi" w:eastAsia="Times New Roman" w:hAnsiTheme="majorBidi" w:cstheme="majorBidi"/>
          <w:b/>
          <w:bCs/>
          <w:sz w:val="32"/>
          <w:szCs w:val="32"/>
          <w:highlight w:val="lightGray"/>
          <w:u w:val="single"/>
          <w:rtl/>
          <w:lang w:val="en-US" w:bidi="ar-DZ"/>
        </w:rPr>
      </w:pPr>
      <w:r w:rsidRPr="00215F4D">
        <w:rPr>
          <w:rFonts w:asciiTheme="majorBidi" w:eastAsia="Times New Roman" w:hAnsiTheme="majorBidi" w:cstheme="majorBidi"/>
          <w:b/>
          <w:bCs/>
          <w:sz w:val="32"/>
          <w:szCs w:val="32"/>
          <w:highlight w:val="lightGray"/>
          <w:u w:val="single"/>
          <w:lang w:val="en-US" w:bidi="ar-DZ"/>
        </w:rPr>
        <w:t>Key words:</w:t>
      </w:r>
    </w:p>
    <w:p w:rsidR="00215F4D" w:rsidRPr="00CD0DDD" w:rsidRDefault="00215F4D" w:rsidP="00215F4D">
      <w:pPr>
        <w:spacing w:line="240" w:lineRule="auto"/>
        <w:jc w:val="both"/>
        <w:rPr>
          <w:rStyle w:val="tlid-translation"/>
          <w:rFonts w:asciiTheme="majorBidi" w:hAnsiTheme="majorBidi" w:cstheme="majorBidi"/>
          <w:sz w:val="24"/>
          <w:szCs w:val="24"/>
          <w:lang w:val="en-US"/>
        </w:rPr>
      </w:pPr>
      <w:proofErr w:type="gramStart"/>
      <w:r w:rsidRPr="00215F4D">
        <w:rPr>
          <w:rStyle w:val="tlid-translation"/>
          <w:rFonts w:asciiTheme="majorBidi" w:hAnsiTheme="majorBidi" w:cstheme="majorBidi"/>
          <w:sz w:val="24"/>
          <w:szCs w:val="24"/>
          <w:lang w:val="en-CA"/>
        </w:rPr>
        <w:t>Treaty  bodies</w:t>
      </w:r>
      <w:proofErr w:type="gramEnd"/>
      <w:r w:rsidRPr="00215F4D">
        <w:rPr>
          <w:rStyle w:val="tlid-translation"/>
          <w:rFonts w:asciiTheme="majorBidi" w:hAnsiTheme="majorBidi" w:cstheme="majorBidi"/>
          <w:sz w:val="24"/>
          <w:szCs w:val="24"/>
          <w:lang w:val="en-CA"/>
        </w:rPr>
        <w:t>, human rights treaty monitoring bodies, regional human rights courts, public international law, Human Rights Committee, European Court of Human Rights.</w:t>
      </w:r>
    </w:p>
    <w:p w:rsidR="00DC4E34" w:rsidRPr="00215F4D" w:rsidRDefault="00DC4E34" w:rsidP="00215F4D">
      <w:pPr>
        <w:spacing w:after="0" w:line="240" w:lineRule="auto"/>
        <w:jc w:val="both"/>
        <w:rPr>
          <w:rFonts w:asciiTheme="majorBidi" w:eastAsia="Times New Roman" w:hAnsiTheme="majorBidi" w:cstheme="majorBidi"/>
          <w:b/>
          <w:bCs/>
          <w:sz w:val="32"/>
          <w:szCs w:val="32"/>
          <w:highlight w:val="lightGray"/>
          <w:u w:val="single"/>
          <w:lang w:val="en-US" w:bidi="ar-DZ"/>
        </w:rPr>
      </w:pPr>
      <w:r w:rsidRPr="00215F4D">
        <w:rPr>
          <w:rFonts w:asciiTheme="majorBidi" w:eastAsia="Times New Roman" w:hAnsiTheme="majorBidi" w:cstheme="majorBidi"/>
          <w:b/>
          <w:bCs/>
          <w:sz w:val="32"/>
          <w:szCs w:val="32"/>
          <w:highlight w:val="lightGray"/>
          <w:u w:val="single"/>
          <w:lang w:val="en-US" w:bidi="ar-DZ"/>
        </w:rPr>
        <w:t>Abstract</w:t>
      </w:r>
      <w:r w:rsidR="00215F4D">
        <w:rPr>
          <w:rFonts w:asciiTheme="majorBidi" w:eastAsia="Times New Roman" w:hAnsiTheme="majorBidi" w:cstheme="majorBidi"/>
          <w:b/>
          <w:bCs/>
          <w:sz w:val="32"/>
          <w:szCs w:val="32"/>
          <w:highlight w:val="lightGray"/>
          <w:u w:val="single"/>
          <w:lang w:val="en-US" w:bidi="ar-DZ"/>
        </w:rPr>
        <w:t>:</w:t>
      </w:r>
    </w:p>
    <w:p w:rsidR="00DC4E34" w:rsidRPr="00254920" w:rsidRDefault="00C507F3" w:rsidP="00DC4E34">
      <w:pPr>
        <w:spacing w:line="240" w:lineRule="auto"/>
        <w:jc w:val="both"/>
        <w:rPr>
          <w:rFonts w:asciiTheme="majorBidi" w:hAnsiTheme="majorBidi" w:cstheme="majorBidi"/>
          <w:sz w:val="32"/>
          <w:szCs w:val="32"/>
          <w:lang w:val="en-CA" w:bidi="ar-DZ"/>
        </w:rPr>
      </w:pPr>
      <w:r>
        <w:rPr>
          <w:rStyle w:val="tlid-translation"/>
          <w:rFonts w:asciiTheme="majorBidi" w:hAnsiTheme="majorBidi" w:cstheme="majorBidi" w:hint="cs"/>
          <w:sz w:val="24"/>
          <w:szCs w:val="24"/>
          <w:rtl/>
          <w:lang w:val="en-CA"/>
        </w:rPr>
        <w:t xml:space="preserve">         </w:t>
      </w:r>
      <w:r w:rsidR="00DC4E34" w:rsidRPr="00254920">
        <w:rPr>
          <w:rStyle w:val="tlid-translation"/>
          <w:rFonts w:asciiTheme="majorBidi" w:hAnsiTheme="majorBidi" w:cstheme="majorBidi"/>
          <w:sz w:val="24"/>
          <w:szCs w:val="24"/>
          <w:lang w:val="en-CA"/>
        </w:rPr>
        <w:t>The work of the human rights treaty monitoring bodies, established at the United Nations level, and the precedents of regional human rights courts have great legal and doctrinal value in the field of international human rights law, not only by their contribution to the better respect by States of their obligations with regard to the rights contained in international and regional human rights instruments, but also by their development of protected rights a</w:t>
      </w:r>
      <w:r w:rsidR="00AA2293">
        <w:rPr>
          <w:rStyle w:val="tlid-translation"/>
          <w:rFonts w:asciiTheme="majorBidi" w:hAnsiTheme="majorBidi" w:cstheme="majorBidi"/>
          <w:sz w:val="24"/>
          <w:szCs w:val="24"/>
          <w:lang w:val="en-CA"/>
        </w:rPr>
        <w:t>nd the creation of new rights, i</w:t>
      </w:r>
      <w:r w:rsidR="00DC4E34" w:rsidRPr="00254920">
        <w:rPr>
          <w:rStyle w:val="tlid-translation"/>
          <w:rFonts w:asciiTheme="majorBidi" w:hAnsiTheme="majorBidi" w:cstheme="majorBidi"/>
          <w:sz w:val="24"/>
          <w:szCs w:val="24"/>
          <w:lang w:val="en-CA"/>
        </w:rPr>
        <w:t>n a way that promotes international protection of human rights.</w:t>
      </w:r>
    </w:p>
    <w:p w:rsidR="00DC4E34" w:rsidRPr="00254920" w:rsidRDefault="00DC4E34" w:rsidP="00DC4E34">
      <w:pPr>
        <w:spacing w:line="240" w:lineRule="auto"/>
        <w:jc w:val="both"/>
        <w:rPr>
          <w:rStyle w:val="tlid-translation"/>
          <w:rFonts w:asciiTheme="majorBidi" w:hAnsiTheme="majorBidi" w:cstheme="majorBidi"/>
          <w:sz w:val="24"/>
          <w:szCs w:val="24"/>
          <w:lang w:val="en-CA"/>
        </w:rPr>
      </w:pPr>
      <w:r w:rsidRPr="00254920">
        <w:rPr>
          <w:rStyle w:val="tlid-translation"/>
          <w:rFonts w:asciiTheme="majorBidi" w:hAnsiTheme="majorBidi" w:cstheme="majorBidi"/>
          <w:sz w:val="24"/>
          <w:szCs w:val="24"/>
          <w:lang w:val="en-CA"/>
        </w:rPr>
        <w:lastRenderedPageBreak/>
        <w:t>In the context of the humanization of international law and the profound effects</w:t>
      </w:r>
      <w:r w:rsidR="00AA2293">
        <w:rPr>
          <w:rStyle w:val="tlid-translation"/>
          <w:rFonts w:asciiTheme="majorBidi" w:hAnsiTheme="majorBidi" w:cstheme="majorBidi"/>
          <w:sz w:val="24"/>
          <w:szCs w:val="24"/>
          <w:lang w:val="en-CA"/>
        </w:rPr>
        <w:t>,</w:t>
      </w:r>
      <w:r w:rsidRPr="00254920">
        <w:rPr>
          <w:rStyle w:val="tlid-translation"/>
          <w:rFonts w:asciiTheme="majorBidi" w:hAnsiTheme="majorBidi" w:cstheme="majorBidi"/>
          <w:sz w:val="24"/>
          <w:szCs w:val="24"/>
          <w:lang w:val="en-CA"/>
        </w:rPr>
        <w:t xml:space="preserve"> that human rights have on various fields of international law, the work of these bodies has an important role in giving the character of human law to certain rules of international law,</w:t>
      </w:r>
      <w:r w:rsidRPr="00254920">
        <w:rPr>
          <w:rFonts w:asciiTheme="majorBidi" w:hAnsiTheme="majorBidi" w:cstheme="majorBidi"/>
          <w:sz w:val="24"/>
          <w:szCs w:val="24"/>
          <w:lang w:val="en-CA"/>
        </w:rPr>
        <w:t xml:space="preserve"> </w:t>
      </w:r>
      <w:r w:rsidRPr="00254920">
        <w:rPr>
          <w:rStyle w:val="tlid-translation"/>
          <w:rFonts w:asciiTheme="majorBidi" w:hAnsiTheme="majorBidi" w:cstheme="majorBidi"/>
          <w:sz w:val="24"/>
          <w:szCs w:val="24"/>
          <w:lang w:val="en-CA"/>
        </w:rPr>
        <w:t>in particular The rules of international responsibility, including the limitation of the material scope of the immunity</w:t>
      </w:r>
      <w:r w:rsidRPr="00D066CC">
        <w:rPr>
          <w:rStyle w:val="tlid-translation"/>
          <w:rFonts w:asciiTheme="majorBidi" w:hAnsiTheme="majorBidi" w:cstheme="majorBidi"/>
          <w:sz w:val="24"/>
          <w:szCs w:val="24"/>
          <w:rtl/>
        </w:rPr>
        <w:t xml:space="preserve"> </w:t>
      </w:r>
      <w:r w:rsidRPr="00254920">
        <w:rPr>
          <w:rStyle w:val="tlid-translation"/>
          <w:rFonts w:asciiTheme="majorBidi" w:hAnsiTheme="majorBidi" w:cstheme="majorBidi"/>
          <w:sz w:val="24"/>
          <w:szCs w:val="24"/>
          <w:lang w:val="en-CA"/>
        </w:rPr>
        <w:t xml:space="preserve"> </w:t>
      </w:r>
      <w:proofErr w:type="spellStart"/>
      <w:r w:rsidRPr="005350BC">
        <w:rPr>
          <w:rStyle w:val="tlid-translation"/>
          <w:rFonts w:asciiTheme="majorBidi" w:hAnsiTheme="majorBidi" w:cstheme="majorBidi"/>
          <w:i/>
          <w:iCs/>
          <w:sz w:val="24"/>
          <w:szCs w:val="24"/>
          <w:lang w:val="en-CA"/>
        </w:rPr>
        <w:t>ratione</w:t>
      </w:r>
      <w:proofErr w:type="spellEnd"/>
      <w:r w:rsidRPr="005350BC">
        <w:rPr>
          <w:rStyle w:val="tlid-translation"/>
          <w:rFonts w:asciiTheme="majorBidi" w:hAnsiTheme="majorBidi" w:cstheme="majorBidi"/>
          <w:i/>
          <w:iCs/>
          <w:sz w:val="24"/>
          <w:szCs w:val="24"/>
          <w:lang w:val="en-CA"/>
        </w:rPr>
        <w:t xml:space="preserve"> </w:t>
      </w:r>
      <w:proofErr w:type="spellStart"/>
      <w:r w:rsidRPr="005350BC">
        <w:rPr>
          <w:rStyle w:val="tlid-translation"/>
          <w:rFonts w:asciiTheme="majorBidi" w:hAnsiTheme="majorBidi" w:cstheme="majorBidi"/>
          <w:i/>
          <w:iCs/>
          <w:sz w:val="24"/>
          <w:szCs w:val="24"/>
          <w:lang w:val="en-CA"/>
        </w:rPr>
        <w:t>materiae</w:t>
      </w:r>
      <w:proofErr w:type="spellEnd"/>
      <w:r w:rsidRPr="00254920">
        <w:rPr>
          <w:rStyle w:val="tlid-translation"/>
          <w:rFonts w:asciiTheme="majorBidi" w:hAnsiTheme="majorBidi" w:cstheme="majorBidi"/>
          <w:sz w:val="24"/>
          <w:szCs w:val="24"/>
          <w:lang w:val="en-CA"/>
        </w:rPr>
        <w:t xml:space="preserve"> of State officials from foreign criminal jurisdiction</w:t>
      </w:r>
      <w:r w:rsidR="00AA2293">
        <w:rPr>
          <w:rStyle w:val="tlid-translation"/>
          <w:rFonts w:asciiTheme="majorBidi" w:hAnsiTheme="majorBidi" w:cstheme="majorBidi"/>
          <w:sz w:val="24"/>
          <w:szCs w:val="24"/>
          <w:lang w:val="en-CA"/>
        </w:rPr>
        <w:t>,</w:t>
      </w:r>
      <w:r w:rsidRPr="00254920">
        <w:rPr>
          <w:rStyle w:val="tlid-translation"/>
          <w:rFonts w:asciiTheme="majorBidi" w:hAnsiTheme="majorBidi" w:cstheme="majorBidi"/>
          <w:sz w:val="24"/>
          <w:szCs w:val="24"/>
          <w:lang w:val="en-CA"/>
        </w:rPr>
        <w:t xml:space="preserve"> by creating doctrinal tendencies in support of their interpretations of international instruments relating to human rights, although they are, in some cases, not in accordance with international practice. </w:t>
      </w:r>
    </w:p>
    <w:p w:rsidR="00DC4E34" w:rsidRDefault="00DC4E34" w:rsidP="00CC33FB">
      <w:pPr>
        <w:spacing w:line="240" w:lineRule="auto"/>
        <w:jc w:val="both"/>
        <w:rPr>
          <w:rStyle w:val="tlid-translation"/>
          <w:rFonts w:asciiTheme="majorBidi" w:hAnsiTheme="majorBidi" w:cstheme="majorBidi"/>
          <w:sz w:val="24"/>
          <w:szCs w:val="24"/>
          <w:lang w:val="en-CA"/>
        </w:rPr>
      </w:pPr>
      <w:r w:rsidRPr="00254920">
        <w:rPr>
          <w:rStyle w:val="tlid-translation"/>
          <w:rFonts w:asciiTheme="majorBidi" w:hAnsiTheme="majorBidi" w:cstheme="majorBidi"/>
          <w:sz w:val="24"/>
          <w:szCs w:val="24"/>
          <w:lang w:val="en-CA"/>
        </w:rPr>
        <w:t>The precedents of the regional human rights courts, which have been reinforced by favo</w:t>
      </w:r>
      <w:r w:rsidR="005350BC">
        <w:rPr>
          <w:rStyle w:val="tlid-translation"/>
          <w:rFonts w:asciiTheme="majorBidi" w:hAnsiTheme="majorBidi" w:cstheme="majorBidi"/>
          <w:sz w:val="24"/>
          <w:szCs w:val="24"/>
          <w:lang w:val="en-CA"/>
        </w:rPr>
        <w:t>u</w:t>
      </w:r>
      <w:r w:rsidRPr="00254920">
        <w:rPr>
          <w:rStyle w:val="tlid-translation"/>
          <w:rFonts w:asciiTheme="majorBidi" w:hAnsiTheme="majorBidi" w:cstheme="majorBidi"/>
          <w:sz w:val="24"/>
          <w:szCs w:val="24"/>
          <w:lang w:val="en-CA"/>
        </w:rPr>
        <w:t xml:space="preserve">rable interpretations of the United Nations treaty bodies, </w:t>
      </w:r>
      <w:r w:rsidRPr="00CC33FB">
        <w:rPr>
          <w:rStyle w:val="tlid-translation"/>
          <w:rFonts w:asciiTheme="majorBidi" w:hAnsiTheme="majorBidi" w:cstheme="majorBidi"/>
          <w:sz w:val="24"/>
          <w:szCs w:val="24"/>
          <w:lang w:val="en-CA"/>
        </w:rPr>
        <w:t>have</w:t>
      </w:r>
      <w:r w:rsidRPr="00254920">
        <w:rPr>
          <w:rStyle w:val="tlid-translation"/>
          <w:rFonts w:asciiTheme="majorBidi" w:hAnsiTheme="majorBidi" w:cstheme="majorBidi"/>
          <w:sz w:val="24"/>
          <w:szCs w:val="24"/>
          <w:lang w:val="en-CA"/>
        </w:rPr>
        <w:t xml:space="preserve"> played a direct role in providing fundamental changes to a number of </w:t>
      </w:r>
      <w:r w:rsidR="00A607D9" w:rsidRPr="00A607D9">
        <w:rPr>
          <w:rStyle w:val="tlid-translation"/>
          <w:rFonts w:asciiTheme="majorBidi" w:hAnsiTheme="majorBidi" w:cstheme="majorBidi"/>
          <w:sz w:val="24"/>
          <w:szCs w:val="24"/>
          <w:lang w:val="en-US"/>
        </w:rPr>
        <w:t xml:space="preserve">established rules </w:t>
      </w:r>
      <w:r w:rsidRPr="00254920">
        <w:rPr>
          <w:rStyle w:val="tlid-translation"/>
          <w:rFonts w:asciiTheme="majorBidi" w:hAnsiTheme="majorBidi" w:cstheme="majorBidi"/>
          <w:sz w:val="24"/>
          <w:szCs w:val="24"/>
          <w:lang w:val="en-CA"/>
        </w:rPr>
        <w:t xml:space="preserve">of </w:t>
      </w:r>
      <w:r w:rsidRPr="00CA59E7">
        <w:rPr>
          <w:rStyle w:val="tlid-translation"/>
          <w:rFonts w:asciiTheme="majorBidi" w:hAnsiTheme="majorBidi" w:cstheme="majorBidi"/>
          <w:sz w:val="24"/>
          <w:szCs w:val="24"/>
          <w:lang w:val="en-CA"/>
        </w:rPr>
        <w:t>public</w:t>
      </w:r>
      <w:r w:rsidRPr="00254920">
        <w:rPr>
          <w:rStyle w:val="tlid-translation"/>
          <w:rFonts w:asciiTheme="majorBidi" w:hAnsiTheme="majorBidi" w:cstheme="majorBidi"/>
          <w:sz w:val="24"/>
          <w:szCs w:val="24"/>
          <w:lang w:val="en-CA"/>
        </w:rPr>
        <w:t xml:space="preserve"> international law; such as the modification of the regime for evaluating the validity of a reservation to treaties and the development of methods of interpretation different from the general rules.</w:t>
      </w:r>
    </w:p>
    <w:p w:rsidR="00056866" w:rsidRDefault="00056866" w:rsidP="00CC33FB">
      <w:pPr>
        <w:spacing w:line="240" w:lineRule="auto"/>
        <w:jc w:val="both"/>
        <w:rPr>
          <w:rStyle w:val="q4iawc"/>
          <w:b/>
          <w:bCs/>
          <w:sz w:val="28"/>
          <w:szCs w:val="28"/>
          <w:u w:val="single"/>
        </w:rPr>
      </w:pPr>
    </w:p>
    <w:p w:rsidR="00056866" w:rsidRDefault="00056866" w:rsidP="00056866">
      <w:pPr>
        <w:spacing w:line="240" w:lineRule="auto"/>
        <w:jc w:val="both"/>
        <w:rPr>
          <w:rStyle w:val="q4iawc"/>
          <w:b/>
          <w:bCs/>
          <w:sz w:val="28"/>
          <w:szCs w:val="28"/>
          <w:u w:val="single"/>
        </w:rPr>
      </w:pPr>
      <w:r w:rsidRPr="00056866">
        <w:rPr>
          <w:rStyle w:val="tlid-translation"/>
          <w:rFonts w:asciiTheme="majorBidi" w:hAnsiTheme="majorBidi" w:cstheme="majorBidi"/>
          <w:b/>
          <w:bCs/>
          <w:sz w:val="24"/>
          <w:szCs w:val="24"/>
          <w:highlight w:val="lightGray"/>
          <w:u w:val="single"/>
        </w:rPr>
        <w:t>Mots clés:</w:t>
      </w:r>
      <w:r w:rsidRPr="00056866">
        <w:rPr>
          <w:rStyle w:val="tlid-translation"/>
          <w:rFonts w:asciiTheme="majorBidi" w:hAnsiTheme="majorBidi" w:cstheme="majorBidi"/>
          <w:sz w:val="24"/>
          <w:szCs w:val="24"/>
        </w:rPr>
        <w:t xml:space="preserve"> Organes de traités, organes de surveillance des traités relatifs aux droits de l'homme, Cours régiona</w:t>
      </w:r>
      <w:r>
        <w:rPr>
          <w:rStyle w:val="tlid-translation"/>
          <w:rFonts w:asciiTheme="majorBidi" w:hAnsiTheme="majorBidi" w:cstheme="majorBidi"/>
          <w:sz w:val="24"/>
          <w:szCs w:val="24"/>
        </w:rPr>
        <w:t>les</w:t>
      </w:r>
      <w:r w:rsidRPr="00056866">
        <w:rPr>
          <w:rStyle w:val="tlid-translation"/>
          <w:rFonts w:asciiTheme="majorBidi" w:hAnsiTheme="majorBidi" w:cstheme="majorBidi"/>
          <w:sz w:val="24"/>
          <w:szCs w:val="24"/>
        </w:rPr>
        <w:t xml:space="preserve"> des droits de l'homme, droit international public, Comité des droits de l'homme, Cour européenne des droits de l'homme</w:t>
      </w:r>
      <w:r>
        <w:rPr>
          <w:rStyle w:val="q4iawc"/>
        </w:rPr>
        <w:t>.</w:t>
      </w:r>
    </w:p>
    <w:p w:rsidR="00056866" w:rsidRPr="00056866" w:rsidRDefault="00056866" w:rsidP="00056866">
      <w:pPr>
        <w:spacing w:after="0" w:line="240" w:lineRule="auto"/>
        <w:jc w:val="both"/>
        <w:rPr>
          <w:rFonts w:eastAsia="Times New Roman"/>
          <w:lang w:val="en-US" w:bidi="ar-DZ"/>
        </w:rPr>
      </w:pPr>
      <w:r w:rsidRPr="00056866">
        <w:rPr>
          <w:rFonts w:asciiTheme="majorBidi" w:eastAsia="Times New Roman" w:hAnsiTheme="majorBidi" w:cstheme="majorBidi"/>
          <w:sz w:val="32"/>
          <w:szCs w:val="32"/>
          <w:highlight w:val="lightGray"/>
          <w:lang w:val="en-US" w:bidi="ar-DZ"/>
        </w:rPr>
        <w:t>Résumé :</w:t>
      </w:r>
    </w:p>
    <w:p w:rsidR="00E034B8" w:rsidRDefault="00E034B8" w:rsidP="00056866">
      <w:pPr>
        <w:spacing w:line="240" w:lineRule="auto"/>
        <w:jc w:val="both"/>
        <w:rPr>
          <w:rStyle w:val="tlid-translation"/>
          <w:rFonts w:hint="cs"/>
          <w:b/>
          <w:bCs/>
          <w:sz w:val="28"/>
          <w:szCs w:val="28"/>
          <w:rtl/>
        </w:rPr>
      </w:pPr>
      <w:r w:rsidRPr="00E034B8">
        <w:rPr>
          <w:rStyle w:val="tlid-translation"/>
          <w:b/>
          <w:bCs/>
          <w:sz w:val="28"/>
          <w:szCs w:val="28"/>
        </w:rPr>
        <w:t>Le travail des organes de surveillance des traités relatifs aux droits de l'homme établis au niveau des Nations Unies, en plus de la jurisprudence des cours régionales des droits de l'homme, est d'une grande valeur jurisprudentielle et juridique pour le droit international des droits de l'homme, non seulement par sa contribution au respect</w:t>
      </w:r>
      <w:r>
        <w:rPr>
          <w:rStyle w:val="tlid-translation"/>
          <w:b/>
          <w:bCs/>
          <w:sz w:val="28"/>
          <w:szCs w:val="28"/>
          <w:lang w:bidi="ar-DZ"/>
        </w:rPr>
        <w:t xml:space="preserve"> d</w:t>
      </w:r>
      <w:r w:rsidRPr="00E034B8">
        <w:rPr>
          <w:rStyle w:val="tlid-translation"/>
          <w:b/>
          <w:bCs/>
          <w:sz w:val="28"/>
          <w:szCs w:val="28"/>
        </w:rPr>
        <w:t>es droits contenus dans les instruments internationaux et régionaux des droits de l'homme, mais aussi par son développement de droits protégés et l'établissement de nouveaux droits d'une manière qui renforce la protection internationale des droits de l'homme.</w:t>
      </w:r>
      <w:r>
        <w:rPr>
          <w:rStyle w:val="tlid-translation"/>
          <w:b/>
          <w:bCs/>
          <w:sz w:val="28"/>
          <w:szCs w:val="28"/>
        </w:rPr>
        <w:t xml:space="preserve"> </w:t>
      </w:r>
      <w:r w:rsidRPr="00E034B8">
        <w:rPr>
          <w:rStyle w:val="tlid-translation"/>
          <w:b/>
          <w:bCs/>
          <w:sz w:val="28"/>
          <w:szCs w:val="28"/>
        </w:rPr>
        <w:t xml:space="preserve">Dans le contexte de l'humanisation du droit international et des effets profonds que les droits de l'homme ont eus dans divers domaines du droit international, les travaux de ces organes ont joué un rôle important en donnant le </w:t>
      </w:r>
      <w:r w:rsidR="00056866" w:rsidRPr="00E034B8">
        <w:rPr>
          <w:rStyle w:val="tlid-translation"/>
          <w:b/>
          <w:bCs/>
          <w:sz w:val="28"/>
          <w:szCs w:val="28"/>
        </w:rPr>
        <w:t>caractère</w:t>
      </w:r>
      <w:r w:rsidRPr="00E034B8">
        <w:rPr>
          <w:rStyle w:val="tlid-translation"/>
          <w:b/>
          <w:bCs/>
          <w:sz w:val="28"/>
          <w:szCs w:val="28"/>
        </w:rPr>
        <w:t xml:space="preserve"> humain à de nombreuses règles du droit international, en particulier les règles du responsabilité international ,</w:t>
      </w:r>
      <w:r w:rsidR="00056866">
        <w:rPr>
          <w:rStyle w:val="tlid-translation"/>
          <w:b/>
          <w:bCs/>
          <w:sz w:val="28"/>
          <w:szCs w:val="28"/>
        </w:rPr>
        <w:t xml:space="preserve"> </w:t>
      </w:r>
      <w:r w:rsidRPr="00E034B8">
        <w:rPr>
          <w:rStyle w:val="tlid-translation"/>
          <w:b/>
          <w:bCs/>
          <w:sz w:val="28"/>
          <w:szCs w:val="28"/>
        </w:rPr>
        <w:t>y compris la limitation de la portée matérielle de l'immunité objective des représentants de l'État de la juridiction pénale étrangère, cela s'est manifesté par la création de tendances jurisprudentielles en faveur de ses interprétations des textes des instruments internationaux des droits de l'homme, bien que dans certains cas, cela contredise ce qui était établi par la pratique internationale</w:t>
      </w:r>
      <w:r w:rsidR="00056866">
        <w:rPr>
          <w:rStyle w:val="tlid-translation"/>
          <w:b/>
          <w:bCs/>
          <w:sz w:val="28"/>
          <w:szCs w:val="28"/>
        </w:rPr>
        <w:t>.</w:t>
      </w:r>
    </w:p>
    <w:p w:rsidR="00E034B8" w:rsidRPr="00E034B8" w:rsidRDefault="00E034B8" w:rsidP="00CC33FB">
      <w:pPr>
        <w:spacing w:line="240" w:lineRule="auto"/>
        <w:jc w:val="both"/>
        <w:rPr>
          <w:rStyle w:val="tlid-translation"/>
          <w:b/>
          <w:bCs/>
          <w:sz w:val="28"/>
          <w:szCs w:val="28"/>
        </w:rPr>
      </w:pPr>
      <w:r w:rsidRPr="00E034B8">
        <w:rPr>
          <w:rStyle w:val="tlid-translation"/>
          <w:b/>
          <w:bCs/>
          <w:sz w:val="28"/>
          <w:szCs w:val="28"/>
        </w:rPr>
        <w:t>les précédents de</w:t>
      </w:r>
      <w:r w:rsidR="00056866">
        <w:rPr>
          <w:rStyle w:val="tlid-translation"/>
          <w:b/>
          <w:bCs/>
          <w:sz w:val="28"/>
          <w:szCs w:val="28"/>
        </w:rPr>
        <w:t>s</w:t>
      </w:r>
      <w:r w:rsidRPr="00E034B8">
        <w:rPr>
          <w:rStyle w:val="tlid-translation"/>
          <w:b/>
          <w:bCs/>
          <w:sz w:val="28"/>
          <w:szCs w:val="28"/>
        </w:rPr>
        <w:t xml:space="preserve"> cours régionales des droits de l'homme, qui ont été renforcés par des interprétat</w:t>
      </w:r>
      <w:r w:rsidR="00056866">
        <w:rPr>
          <w:rStyle w:val="tlid-translation"/>
          <w:b/>
          <w:bCs/>
          <w:sz w:val="28"/>
          <w:szCs w:val="28"/>
        </w:rPr>
        <w:t>ions en leur faveur de la part d</w:t>
      </w:r>
      <w:r w:rsidRPr="00E034B8">
        <w:rPr>
          <w:rStyle w:val="tlid-translation"/>
          <w:b/>
          <w:bCs/>
          <w:sz w:val="28"/>
          <w:szCs w:val="28"/>
        </w:rPr>
        <w:t xml:space="preserve">es organes de contrôle établis à l'ONU, ont </w:t>
      </w:r>
      <w:r w:rsidR="00056866" w:rsidRPr="00E034B8">
        <w:rPr>
          <w:rStyle w:val="tlid-translation"/>
          <w:b/>
          <w:bCs/>
          <w:sz w:val="28"/>
          <w:szCs w:val="28"/>
        </w:rPr>
        <w:t>jouées</w:t>
      </w:r>
      <w:r w:rsidRPr="00E034B8">
        <w:rPr>
          <w:rStyle w:val="tlid-translation"/>
          <w:b/>
          <w:bCs/>
          <w:sz w:val="28"/>
          <w:szCs w:val="28"/>
        </w:rPr>
        <w:t xml:space="preserve"> un rôle direct  pour apporter des modifications fondamentales à un certain nombre de règles bien établies du droit international public, telles que la modification du système d'évaluation de la validité des réserves aux traités internationaux et la mise au point de </w:t>
      </w:r>
      <w:r w:rsidRPr="00E034B8">
        <w:rPr>
          <w:rStyle w:val="tlid-translation"/>
          <w:b/>
          <w:bCs/>
          <w:sz w:val="28"/>
          <w:szCs w:val="28"/>
        </w:rPr>
        <w:lastRenderedPageBreak/>
        <w:t>méthodes spéciales d'interprétation différentes des règles générales d'interprétation.</w:t>
      </w:r>
    </w:p>
    <w:p w:rsidR="00AF5F09" w:rsidRPr="00E034B8" w:rsidRDefault="00AF5F09"/>
    <w:sectPr w:rsidR="00AF5F09" w:rsidRPr="00E034B8" w:rsidSect="00C7353F">
      <w:headerReference w:type="default" r:id="rId7"/>
      <w:pgSz w:w="11906" w:h="16838"/>
      <w:pgMar w:top="1276" w:right="1274" w:bottom="851" w:left="1417" w:header="708" w:footer="708" w:gutter="0"/>
      <w:pgNumType w:start="44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CBC" w:rsidRDefault="005A1CBC">
      <w:pPr>
        <w:spacing w:after="0" w:line="240" w:lineRule="auto"/>
      </w:pPr>
      <w:r>
        <w:separator/>
      </w:r>
    </w:p>
  </w:endnote>
  <w:endnote w:type="continuationSeparator" w:id="0">
    <w:p w:rsidR="005A1CBC" w:rsidRDefault="005A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CBC" w:rsidRDefault="005A1CBC">
      <w:pPr>
        <w:spacing w:after="0" w:line="240" w:lineRule="auto"/>
      </w:pPr>
      <w:r>
        <w:separator/>
      </w:r>
    </w:p>
  </w:footnote>
  <w:footnote w:type="continuationSeparator" w:id="0">
    <w:p w:rsidR="005A1CBC" w:rsidRDefault="005A1C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5C22" w:rsidRDefault="005A1CBC">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E34"/>
    <w:rsid w:val="00056866"/>
    <w:rsid w:val="000C3F85"/>
    <w:rsid w:val="00215F4D"/>
    <w:rsid w:val="00254920"/>
    <w:rsid w:val="002B6C2F"/>
    <w:rsid w:val="002E42DD"/>
    <w:rsid w:val="002E47E6"/>
    <w:rsid w:val="00350110"/>
    <w:rsid w:val="003516CD"/>
    <w:rsid w:val="004262C9"/>
    <w:rsid w:val="004C03C9"/>
    <w:rsid w:val="005350BC"/>
    <w:rsid w:val="0054015A"/>
    <w:rsid w:val="005A1CBC"/>
    <w:rsid w:val="005C2353"/>
    <w:rsid w:val="00605585"/>
    <w:rsid w:val="006D129A"/>
    <w:rsid w:val="00751DDC"/>
    <w:rsid w:val="00872139"/>
    <w:rsid w:val="0090168A"/>
    <w:rsid w:val="00961DE8"/>
    <w:rsid w:val="00973D51"/>
    <w:rsid w:val="00A100F2"/>
    <w:rsid w:val="00A5777C"/>
    <w:rsid w:val="00A607D9"/>
    <w:rsid w:val="00AA2293"/>
    <w:rsid w:val="00AF5F09"/>
    <w:rsid w:val="00B224B0"/>
    <w:rsid w:val="00B43DC5"/>
    <w:rsid w:val="00BB4FE9"/>
    <w:rsid w:val="00BB7A2D"/>
    <w:rsid w:val="00C507F3"/>
    <w:rsid w:val="00C8620A"/>
    <w:rsid w:val="00CA59E7"/>
    <w:rsid w:val="00CC33FB"/>
    <w:rsid w:val="00CD08B0"/>
    <w:rsid w:val="00CD0DDD"/>
    <w:rsid w:val="00CF25C5"/>
    <w:rsid w:val="00D0151D"/>
    <w:rsid w:val="00DC4E34"/>
    <w:rsid w:val="00E034B8"/>
    <w:rsid w:val="00E11158"/>
    <w:rsid w:val="00FE715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E34"/>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lid-translation">
    <w:name w:val="tlid-translation"/>
    <w:basedOn w:val="Policepardfaut"/>
    <w:rsid w:val="00DC4E34"/>
  </w:style>
  <w:style w:type="paragraph" w:styleId="En-tte">
    <w:name w:val="header"/>
    <w:basedOn w:val="Normal"/>
    <w:link w:val="En-tteCar"/>
    <w:uiPriority w:val="99"/>
    <w:unhideWhenUsed/>
    <w:rsid w:val="00DC4E34"/>
    <w:pPr>
      <w:tabs>
        <w:tab w:val="center" w:pos="4536"/>
        <w:tab w:val="right" w:pos="9072"/>
      </w:tabs>
      <w:spacing w:after="0" w:line="240" w:lineRule="auto"/>
    </w:pPr>
  </w:style>
  <w:style w:type="character" w:customStyle="1" w:styleId="En-tteCar">
    <w:name w:val="En-tête Car"/>
    <w:basedOn w:val="Policepardfaut"/>
    <w:link w:val="En-tte"/>
    <w:uiPriority w:val="99"/>
    <w:rsid w:val="00DC4E34"/>
    <w:rPr>
      <w:rFonts w:eastAsiaTheme="minorEastAsia"/>
      <w:lang w:eastAsia="fr-FR"/>
    </w:rPr>
  </w:style>
  <w:style w:type="paragraph" w:styleId="Pieddepage">
    <w:name w:val="footer"/>
    <w:basedOn w:val="Normal"/>
    <w:link w:val="PieddepageCar"/>
    <w:uiPriority w:val="99"/>
    <w:unhideWhenUsed/>
    <w:rsid w:val="00DC4E3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C4E34"/>
    <w:rPr>
      <w:rFonts w:eastAsiaTheme="minorEastAsia"/>
      <w:lang w:eastAsia="fr-FR"/>
    </w:rPr>
  </w:style>
  <w:style w:type="paragraph" w:styleId="Paragraphedeliste">
    <w:name w:val="List Paragraph"/>
    <w:basedOn w:val="Normal"/>
    <w:uiPriority w:val="34"/>
    <w:qFormat/>
    <w:rsid w:val="00CF25C5"/>
    <w:pPr>
      <w:ind w:left="720"/>
      <w:contextualSpacing/>
    </w:pPr>
  </w:style>
  <w:style w:type="character" w:customStyle="1" w:styleId="q4iawc">
    <w:name w:val="q4iawc"/>
    <w:basedOn w:val="Policepardfaut"/>
    <w:rsid w:val="00215F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4E34"/>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lid-translation">
    <w:name w:val="tlid-translation"/>
    <w:basedOn w:val="Policepardfaut"/>
    <w:rsid w:val="00DC4E34"/>
  </w:style>
  <w:style w:type="paragraph" w:styleId="En-tte">
    <w:name w:val="header"/>
    <w:basedOn w:val="Normal"/>
    <w:link w:val="En-tteCar"/>
    <w:uiPriority w:val="99"/>
    <w:unhideWhenUsed/>
    <w:rsid w:val="00DC4E34"/>
    <w:pPr>
      <w:tabs>
        <w:tab w:val="center" w:pos="4536"/>
        <w:tab w:val="right" w:pos="9072"/>
      </w:tabs>
      <w:spacing w:after="0" w:line="240" w:lineRule="auto"/>
    </w:pPr>
  </w:style>
  <w:style w:type="character" w:customStyle="1" w:styleId="En-tteCar">
    <w:name w:val="En-tête Car"/>
    <w:basedOn w:val="Policepardfaut"/>
    <w:link w:val="En-tte"/>
    <w:uiPriority w:val="99"/>
    <w:rsid w:val="00DC4E34"/>
    <w:rPr>
      <w:rFonts w:eastAsiaTheme="minorEastAsia"/>
      <w:lang w:eastAsia="fr-FR"/>
    </w:rPr>
  </w:style>
  <w:style w:type="paragraph" w:styleId="Pieddepage">
    <w:name w:val="footer"/>
    <w:basedOn w:val="Normal"/>
    <w:link w:val="PieddepageCar"/>
    <w:uiPriority w:val="99"/>
    <w:unhideWhenUsed/>
    <w:rsid w:val="00DC4E3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C4E34"/>
    <w:rPr>
      <w:rFonts w:eastAsiaTheme="minorEastAsia"/>
      <w:lang w:eastAsia="fr-FR"/>
    </w:rPr>
  </w:style>
  <w:style w:type="paragraph" w:styleId="Paragraphedeliste">
    <w:name w:val="List Paragraph"/>
    <w:basedOn w:val="Normal"/>
    <w:uiPriority w:val="34"/>
    <w:qFormat/>
    <w:rsid w:val="00CF25C5"/>
    <w:pPr>
      <w:ind w:left="720"/>
      <w:contextualSpacing/>
    </w:pPr>
  </w:style>
  <w:style w:type="character" w:customStyle="1" w:styleId="q4iawc">
    <w:name w:val="q4iawc"/>
    <w:basedOn w:val="Policepardfaut"/>
    <w:rsid w:val="00215F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870</Words>
  <Characters>4790</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bib RFID</cp:lastModifiedBy>
  <cp:revision>3</cp:revision>
  <cp:lastPrinted>2022-08-27T13:08:00Z</cp:lastPrinted>
  <dcterms:created xsi:type="dcterms:W3CDTF">2022-09-14T14:20:00Z</dcterms:created>
  <dcterms:modified xsi:type="dcterms:W3CDTF">2022-09-14T14:20:00Z</dcterms:modified>
</cp:coreProperties>
</file>