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0138" w:rsidRDefault="00040138" w:rsidP="00040138">
      <w:pPr>
        <w:bidi/>
        <w:rPr>
          <w:rFonts w:cs="Arial"/>
          <w:b/>
          <w:bCs/>
          <w:sz w:val="36"/>
          <w:szCs w:val="36"/>
          <w:u w:val="single"/>
        </w:rPr>
      </w:pPr>
      <w:r>
        <w:rPr>
          <w:rFonts w:cs="Arial"/>
          <w:b/>
          <w:bCs/>
          <w:sz w:val="36"/>
          <w:szCs w:val="36"/>
          <w:u w:val="single"/>
          <w:rtl/>
        </w:rPr>
        <w:t>الملخص</w:t>
      </w:r>
    </w:p>
    <w:p w:rsidR="00040138" w:rsidRDefault="00040138" w:rsidP="00040138">
      <w:pPr>
        <w:bidi/>
        <w:spacing w:after="0" w:line="420" w:lineRule="atLeast"/>
        <w:jc w:val="both"/>
        <w:rPr>
          <w:rFonts w:asciiTheme="majorBidi" w:hAnsiTheme="majorBidi" w:cstheme="majorBidi"/>
          <w:sz w:val="24"/>
          <w:szCs w:val="24"/>
        </w:rPr>
      </w:pPr>
      <w:r>
        <w:rPr>
          <w:rFonts w:asciiTheme="majorBidi" w:hAnsiTheme="majorBidi" w:cstheme="majorBidi"/>
          <w:sz w:val="24"/>
          <w:szCs w:val="24"/>
          <w:rtl/>
          <w:lang w:val="en-US"/>
        </w:rPr>
        <w:t xml:space="preserve">يهدف هذا البحث إلى دراسة وتطوير الهياكل متعددة الطبقات المختلفة </w:t>
      </w:r>
      <w:r>
        <w:rPr>
          <w:rFonts w:asciiTheme="majorBidi" w:hAnsiTheme="majorBidi" w:cstheme="majorBidi"/>
          <w:sz w:val="24"/>
          <w:szCs w:val="24"/>
          <w:rtl/>
        </w:rPr>
        <w:t>والمصنوعة من السليكون المسامي (</w:t>
      </w:r>
      <w:r>
        <w:rPr>
          <w:rFonts w:asciiTheme="majorBidi" w:hAnsiTheme="majorBidi" w:cstheme="majorBidi"/>
          <w:sz w:val="24"/>
          <w:szCs w:val="24"/>
        </w:rPr>
        <w:t>(SP</w:t>
      </w:r>
      <w:r>
        <w:rPr>
          <w:rFonts w:asciiTheme="majorBidi" w:hAnsiTheme="majorBidi" w:cstheme="majorBidi"/>
          <w:sz w:val="24"/>
          <w:szCs w:val="24"/>
          <w:rtl/>
        </w:rPr>
        <w:t xml:space="preserve"> </w:t>
      </w:r>
      <w:r>
        <w:rPr>
          <w:rFonts w:asciiTheme="majorBidi" w:hAnsiTheme="majorBidi" w:cstheme="majorBidi"/>
          <w:sz w:val="24"/>
          <w:szCs w:val="24"/>
          <w:rtl/>
          <w:lang w:val="en-US"/>
        </w:rPr>
        <w:t>من أجل استخدامها كعاكس خلفي</w:t>
      </w:r>
      <w:r>
        <w:rPr>
          <w:rFonts w:asciiTheme="majorBidi" w:hAnsiTheme="majorBidi" w:cstheme="majorBidi"/>
          <w:sz w:val="24"/>
          <w:szCs w:val="24"/>
          <w:lang w:val="en-US"/>
        </w:rPr>
        <w:t xml:space="preserve"> (RA) </w:t>
      </w:r>
      <w:r>
        <w:rPr>
          <w:rFonts w:asciiTheme="majorBidi" w:hAnsiTheme="majorBidi" w:cstheme="majorBidi"/>
          <w:sz w:val="24"/>
          <w:szCs w:val="24"/>
          <w:rtl/>
          <w:lang w:val="en-US"/>
        </w:rPr>
        <w:t>في الخلايا</w:t>
      </w:r>
      <w:r>
        <w:rPr>
          <w:rFonts w:asciiTheme="majorBidi" w:hAnsiTheme="majorBidi" w:cstheme="majorBidi"/>
          <w:sz w:val="24"/>
          <w:szCs w:val="24"/>
          <w:lang w:val="en-US"/>
        </w:rPr>
        <w:t xml:space="preserve"> </w:t>
      </w:r>
      <w:r>
        <w:rPr>
          <w:rFonts w:asciiTheme="majorBidi" w:hAnsiTheme="majorBidi" w:cstheme="majorBidi"/>
          <w:sz w:val="24"/>
          <w:szCs w:val="24"/>
          <w:rtl/>
          <w:lang w:val="en-US"/>
        </w:rPr>
        <w:t>الشمسية</w:t>
      </w:r>
      <w:r>
        <w:rPr>
          <w:rFonts w:asciiTheme="majorBidi" w:hAnsiTheme="majorBidi" w:cstheme="majorBidi"/>
          <w:sz w:val="24"/>
          <w:szCs w:val="24"/>
          <w:lang w:val="en-US"/>
        </w:rPr>
        <w:t>.</w:t>
      </w:r>
      <w:r>
        <w:rPr>
          <w:rFonts w:asciiTheme="majorBidi" w:hAnsiTheme="majorBidi" w:cstheme="majorBidi"/>
          <w:sz w:val="24"/>
          <w:szCs w:val="24"/>
          <w:rtl/>
          <w:lang w:val="en-US"/>
        </w:rPr>
        <w:t>الرقيقة المصنوعة من مادة</w:t>
      </w:r>
      <w:r>
        <w:rPr>
          <w:rFonts w:asciiTheme="majorBidi" w:hAnsiTheme="majorBidi" w:cstheme="majorBidi"/>
          <w:sz w:val="24"/>
          <w:szCs w:val="24"/>
          <w:lang w:val="en-US"/>
        </w:rPr>
        <w:t xml:space="preserve"> </w:t>
      </w:r>
      <w:r>
        <w:rPr>
          <w:rFonts w:asciiTheme="majorBidi" w:hAnsiTheme="majorBidi" w:cstheme="majorBidi"/>
          <w:sz w:val="24"/>
          <w:szCs w:val="24"/>
          <w:rtl/>
          <w:lang w:val="en-US"/>
        </w:rPr>
        <w:t xml:space="preserve">السليكون البلورية. </w:t>
      </w:r>
      <w:r>
        <w:rPr>
          <w:rFonts w:asciiTheme="majorBidi" w:hAnsiTheme="majorBidi" w:cstheme="majorBidi"/>
          <w:sz w:val="24"/>
          <w:szCs w:val="24"/>
          <w:rtl/>
        </w:rPr>
        <w:t xml:space="preserve">أنواع هياكل العاكس الخلفي التي درست في هذا العمل هي: </w:t>
      </w:r>
      <w:r>
        <w:rPr>
          <w:rFonts w:asciiTheme="majorBidi" w:hAnsiTheme="majorBidi" w:cstheme="majorBidi"/>
          <w:sz w:val="24"/>
          <w:szCs w:val="24"/>
        </w:rPr>
        <w:t>(i)</w:t>
      </w:r>
      <w:r>
        <w:rPr>
          <w:rFonts w:asciiTheme="majorBidi" w:hAnsiTheme="majorBidi" w:cstheme="majorBidi"/>
          <w:sz w:val="24"/>
          <w:szCs w:val="24"/>
          <w:rtl/>
        </w:rPr>
        <w:t xml:space="preserve"> مرآة براق (</w:t>
      </w:r>
      <w:r>
        <w:rPr>
          <w:rFonts w:asciiTheme="majorBidi" w:hAnsiTheme="majorBidi" w:cstheme="majorBidi"/>
          <w:sz w:val="24"/>
          <w:szCs w:val="24"/>
        </w:rPr>
        <w:t>(MB</w:t>
      </w:r>
      <w:r>
        <w:rPr>
          <w:rFonts w:asciiTheme="majorBidi" w:hAnsiTheme="majorBidi" w:cstheme="majorBidi"/>
          <w:sz w:val="24"/>
          <w:szCs w:val="24"/>
          <w:rtl/>
        </w:rPr>
        <w:t xml:space="preserve">٬ </w:t>
      </w:r>
      <w:r>
        <w:rPr>
          <w:rFonts w:asciiTheme="majorBidi" w:hAnsiTheme="majorBidi" w:cstheme="majorBidi"/>
          <w:sz w:val="24"/>
          <w:szCs w:val="24"/>
        </w:rPr>
        <w:t>(ii)</w:t>
      </w:r>
      <w:r>
        <w:rPr>
          <w:rFonts w:asciiTheme="majorBidi" w:hAnsiTheme="majorBidi" w:cstheme="majorBidi"/>
          <w:sz w:val="24"/>
          <w:szCs w:val="24"/>
          <w:rtl/>
        </w:rPr>
        <w:t>عاكس ذو سمك طبقات متزايد مع عدد الطبقات المستعمل</w:t>
      </w:r>
      <w:r>
        <w:rPr>
          <w:rFonts w:asciiTheme="majorBidi" w:hAnsiTheme="majorBidi" w:cstheme="majorBidi"/>
          <w:sz w:val="24"/>
          <w:szCs w:val="24"/>
        </w:rPr>
        <w:t xml:space="preserve">(RBC) </w:t>
      </w:r>
      <w:r>
        <w:rPr>
          <w:rFonts w:asciiTheme="majorBidi" w:hAnsiTheme="majorBidi" w:cstheme="majorBidi"/>
          <w:sz w:val="24"/>
          <w:szCs w:val="24"/>
          <w:rtl/>
        </w:rPr>
        <w:t>٬</w:t>
      </w:r>
      <w:r>
        <w:rPr>
          <w:rFonts w:asciiTheme="majorBidi" w:hAnsiTheme="majorBidi" w:cstheme="majorBidi"/>
          <w:sz w:val="24"/>
          <w:szCs w:val="24"/>
        </w:rPr>
        <w:t xml:space="preserve"> (iii)</w:t>
      </w:r>
      <w:r>
        <w:rPr>
          <w:rFonts w:asciiTheme="majorBidi" w:hAnsiTheme="majorBidi" w:cstheme="majorBidi"/>
          <w:sz w:val="24"/>
          <w:szCs w:val="24"/>
          <w:rtl/>
        </w:rPr>
        <w:t xml:space="preserve"> مرايا متجاورة ذات سمك طبقات متزايد مع عدد المرايا المستعمل</w:t>
      </w:r>
      <w:r>
        <w:rPr>
          <w:rFonts w:asciiTheme="majorBidi" w:hAnsiTheme="majorBidi" w:cstheme="majorBidi"/>
          <w:sz w:val="24"/>
          <w:szCs w:val="24"/>
        </w:rPr>
        <w:t xml:space="preserve"> (MBAC) </w:t>
      </w:r>
      <w:r>
        <w:rPr>
          <w:rFonts w:asciiTheme="majorBidi" w:hAnsiTheme="majorBidi" w:cstheme="majorBidi"/>
          <w:sz w:val="24"/>
          <w:szCs w:val="24"/>
          <w:rtl/>
        </w:rPr>
        <w:t xml:space="preserve">٬ </w:t>
      </w:r>
      <w:r>
        <w:rPr>
          <w:rFonts w:asciiTheme="majorBidi" w:hAnsiTheme="majorBidi" w:cstheme="majorBidi"/>
          <w:sz w:val="24"/>
          <w:szCs w:val="24"/>
        </w:rPr>
        <w:t>(iv)</w:t>
      </w:r>
      <w:r>
        <w:rPr>
          <w:rFonts w:asciiTheme="majorBidi" w:hAnsiTheme="majorBidi" w:cstheme="majorBidi"/>
          <w:sz w:val="24"/>
          <w:szCs w:val="24"/>
          <w:rtl/>
        </w:rPr>
        <w:t>مرآة ذات سمك طبقات متغير وفقا لمنحنى فارمي</w:t>
      </w:r>
      <w:r>
        <w:rPr>
          <w:rFonts w:asciiTheme="majorBidi" w:hAnsiTheme="majorBidi" w:cstheme="majorBidi"/>
          <w:sz w:val="24"/>
          <w:szCs w:val="24"/>
        </w:rPr>
        <w:t>(RBF)</w:t>
      </w:r>
      <w:r>
        <w:rPr>
          <w:rFonts w:asciiTheme="majorBidi" w:hAnsiTheme="majorBidi" w:cstheme="majorBidi"/>
          <w:sz w:val="24"/>
          <w:szCs w:val="24"/>
          <w:rtl/>
        </w:rPr>
        <w:t xml:space="preserve">. </w:t>
      </w:r>
      <w:r>
        <w:rPr>
          <w:rFonts w:asciiTheme="majorBidi" w:hAnsiTheme="majorBidi" w:cstheme="majorBidi"/>
          <w:sz w:val="24"/>
          <w:szCs w:val="24"/>
        </w:rPr>
        <w:t xml:space="preserve">(v) </w:t>
      </w:r>
      <w:r>
        <w:rPr>
          <w:rFonts w:asciiTheme="majorBidi" w:hAnsiTheme="majorBidi" w:cstheme="majorBidi"/>
          <w:sz w:val="24"/>
          <w:szCs w:val="24"/>
          <w:rtl/>
        </w:rPr>
        <w:t xml:space="preserve"> وفي الأخير مرآة ذات سمك طبقات محسن حسابيا.</w:t>
      </w:r>
      <w:r>
        <w:rPr>
          <w:rFonts w:asciiTheme="majorBidi" w:eastAsia="Times New Roman" w:hAnsiTheme="majorBidi" w:cstheme="majorBidi"/>
          <w:color w:val="FFFFFF"/>
          <w:spacing w:val="5"/>
          <w:sz w:val="24"/>
          <w:szCs w:val="24"/>
        </w:rPr>
        <w:t xml:space="preserve"> </w:t>
      </w:r>
      <w:r>
        <w:rPr>
          <w:rFonts w:asciiTheme="majorBidi" w:eastAsia="Times New Roman" w:hAnsiTheme="majorBidi" w:cstheme="majorBidi"/>
          <w:color w:val="000000"/>
          <w:sz w:val="24"/>
          <w:szCs w:val="24"/>
          <w:rtl/>
        </w:rPr>
        <w:t xml:space="preserve">تم تحسين معامل الإنعكاس لهذه الهياكل المختلفة، في نطاق الطول الموجي المحصور بين </w:t>
      </w:r>
      <w:r>
        <w:rPr>
          <w:rFonts w:asciiTheme="majorBidi" w:hAnsiTheme="majorBidi" w:cstheme="majorBidi"/>
          <w:sz w:val="24"/>
          <w:szCs w:val="24"/>
        </w:rPr>
        <w:t>nm</w:t>
      </w:r>
      <w:r>
        <w:rPr>
          <w:rFonts w:asciiTheme="majorBidi" w:hAnsiTheme="majorBidi" w:cstheme="majorBidi"/>
          <w:sz w:val="24"/>
          <w:szCs w:val="24"/>
          <w:rtl/>
        </w:rPr>
        <w:t>800 و</w:t>
      </w:r>
      <w:proofErr w:type="gramStart"/>
      <w:r>
        <w:rPr>
          <w:rFonts w:asciiTheme="majorBidi" w:hAnsiTheme="majorBidi" w:cstheme="majorBidi"/>
          <w:sz w:val="24"/>
          <w:szCs w:val="24"/>
        </w:rPr>
        <w:t xml:space="preserve">nm  </w:t>
      </w:r>
      <w:r>
        <w:rPr>
          <w:rFonts w:asciiTheme="majorBidi" w:hAnsiTheme="majorBidi" w:cstheme="majorBidi"/>
          <w:sz w:val="24"/>
          <w:szCs w:val="24"/>
          <w:rtl/>
        </w:rPr>
        <w:t>1200</w:t>
      </w:r>
      <w:proofErr w:type="gramEnd"/>
      <w:r>
        <w:rPr>
          <w:rFonts w:asciiTheme="majorBidi" w:eastAsia="Times New Roman" w:hAnsiTheme="majorBidi" w:cstheme="majorBidi"/>
          <w:color w:val="000000"/>
          <w:sz w:val="24"/>
          <w:szCs w:val="24"/>
          <w:rtl/>
        </w:rPr>
        <w:t xml:space="preserve">. تم إجراء التحسين بمعايرة العوامل التالية: سمك الطبقات ٬مسامية الطبقات وعدد الطبقات. </w:t>
      </w:r>
      <w:r>
        <w:rPr>
          <w:rFonts w:asciiTheme="majorBidi" w:hAnsiTheme="majorBidi" w:cstheme="majorBidi"/>
          <w:sz w:val="24"/>
          <w:szCs w:val="24"/>
          <w:rtl/>
        </w:rPr>
        <w:t xml:space="preserve">أظهرت نتائج المحاكاة أن أداء هيكل </w:t>
      </w:r>
      <w:r>
        <w:rPr>
          <w:rFonts w:asciiTheme="majorBidi" w:hAnsiTheme="majorBidi" w:cstheme="majorBidi"/>
          <w:sz w:val="24"/>
          <w:szCs w:val="24"/>
        </w:rPr>
        <w:t>MB</w:t>
      </w:r>
      <w:r>
        <w:rPr>
          <w:rFonts w:asciiTheme="majorBidi" w:hAnsiTheme="majorBidi" w:cstheme="majorBidi"/>
          <w:sz w:val="24"/>
          <w:szCs w:val="24"/>
          <w:rtl/>
        </w:rPr>
        <w:t xml:space="preserve"> محدود بمعاملي إنكسار الضوء المتعلقين بالطبقتين اللتين تشكلانها. كذلك أثبتت نتائج المحاكاة أن جميع الهياكل ذات سمك طبقات متغير</w:t>
      </w:r>
      <w:r>
        <w:rPr>
          <w:rFonts w:asciiTheme="majorBidi" w:eastAsia="Times New Roman" w:hAnsiTheme="majorBidi" w:cstheme="majorBidi"/>
          <w:color w:val="000000"/>
          <w:sz w:val="24"/>
          <w:szCs w:val="24"/>
          <w:rtl/>
        </w:rPr>
        <w:t>٬</w:t>
      </w:r>
      <w:r>
        <w:rPr>
          <w:rFonts w:asciiTheme="majorBidi" w:hAnsiTheme="majorBidi" w:cstheme="majorBidi"/>
          <w:sz w:val="24"/>
          <w:szCs w:val="24"/>
          <w:rtl/>
        </w:rPr>
        <w:t xml:space="preserve"> تستطيع عكس الضوء على نطاق طيفي أوسع مقارنة مع هيكل </w:t>
      </w:r>
      <w:r>
        <w:rPr>
          <w:rFonts w:asciiTheme="majorBidi" w:hAnsiTheme="majorBidi" w:cstheme="majorBidi"/>
          <w:sz w:val="24"/>
          <w:szCs w:val="24"/>
        </w:rPr>
        <w:t>MB</w:t>
      </w:r>
      <w:r>
        <w:rPr>
          <w:rFonts w:asciiTheme="majorBidi" w:hAnsiTheme="majorBidi" w:cstheme="majorBidi"/>
          <w:sz w:val="24"/>
          <w:szCs w:val="24"/>
          <w:rtl/>
        </w:rPr>
        <w:t xml:space="preserve">. من أجل 20 طبقة من </w:t>
      </w:r>
      <w:r>
        <w:rPr>
          <w:rFonts w:asciiTheme="majorBidi" w:hAnsiTheme="majorBidi" w:cstheme="majorBidi"/>
          <w:sz w:val="24"/>
          <w:szCs w:val="24"/>
        </w:rPr>
        <w:t>SP</w:t>
      </w:r>
      <w:r>
        <w:rPr>
          <w:rFonts w:asciiTheme="majorBidi" w:hAnsiTheme="majorBidi" w:cstheme="majorBidi"/>
          <w:sz w:val="24"/>
          <w:szCs w:val="24"/>
          <w:rtl/>
        </w:rPr>
        <w:t xml:space="preserve">٬ حقق هيكل </w:t>
      </w:r>
      <w:r>
        <w:rPr>
          <w:rFonts w:asciiTheme="majorBidi" w:hAnsiTheme="majorBidi" w:cstheme="majorBidi"/>
          <w:sz w:val="24"/>
          <w:szCs w:val="24"/>
        </w:rPr>
        <w:t>RBF</w:t>
      </w:r>
      <w:r>
        <w:rPr>
          <w:rFonts w:asciiTheme="majorBidi" w:hAnsiTheme="majorBidi" w:cstheme="majorBidi"/>
          <w:sz w:val="24"/>
          <w:szCs w:val="24"/>
          <w:rtl/>
        </w:rPr>
        <w:t xml:space="preserve"> أفضل </w:t>
      </w:r>
      <w:r>
        <w:rPr>
          <w:rFonts w:asciiTheme="majorBidi" w:eastAsia="Times New Roman" w:hAnsiTheme="majorBidi" w:cstheme="majorBidi"/>
          <w:color w:val="000000"/>
          <w:sz w:val="24"/>
          <w:szCs w:val="24"/>
          <w:rtl/>
        </w:rPr>
        <w:t xml:space="preserve">معامل إنعكاس مقارنة مع باقي الهياكل. يقدر معامل إنعكاس الضوء لهذا الهيكل ﺑ: 80 ٪ في نطاق الطول الموجي المحصور بين </w:t>
      </w:r>
      <w:r>
        <w:rPr>
          <w:rFonts w:asciiTheme="majorBidi" w:hAnsiTheme="majorBidi" w:cstheme="majorBidi"/>
          <w:sz w:val="24"/>
          <w:szCs w:val="24"/>
        </w:rPr>
        <w:t>nm</w:t>
      </w:r>
      <w:r>
        <w:rPr>
          <w:rFonts w:asciiTheme="majorBidi" w:hAnsiTheme="majorBidi" w:cstheme="majorBidi"/>
          <w:sz w:val="24"/>
          <w:szCs w:val="24"/>
          <w:rtl/>
        </w:rPr>
        <w:t>800 و</w:t>
      </w:r>
      <w:proofErr w:type="gramStart"/>
      <w:r>
        <w:rPr>
          <w:rFonts w:asciiTheme="majorBidi" w:hAnsiTheme="majorBidi" w:cstheme="majorBidi"/>
          <w:sz w:val="24"/>
          <w:szCs w:val="24"/>
        </w:rPr>
        <w:t xml:space="preserve">nm  </w:t>
      </w:r>
      <w:r>
        <w:rPr>
          <w:rFonts w:asciiTheme="majorBidi" w:hAnsiTheme="majorBidi" w:cstheme="majorBidi"/>
          <w:sz w:val="24"/>
          <w:szCs w:val="24"/>
          <w:rtl/>
        </w:rPr>
        <w:t>1200</w:t>
      </w:r>
      <w:proofErr w:type="gramEnd"/>
      <w:r>
        <w:rPr>
          <w:rFonts w:asciiTheme="majorBidi" w:eastAsia="Times New Roman" w:hAnsiTheme="majorBidi" w:cstheme="majorBidi"/>
          <w:color w:val="000000"/>
          <w:sz w:val="24"/>
          <w:szCs w:val="24"/>
          <w:rtl/>
        </w:rPr>
        <w:t xml:space="preserve">. ساهم هذا الهيكل المحسن من توسيع مجال عكس الفتونات بنسبة 56,8 ٪ على مجال طيفي يقدر ﺑ: </w:t>
      </w:r>
      <w:r>
        <w:rPr>
          <w:rFonts w:asciiTheme="majorBidi" w:hAnsiTheme="majorBidi" w:cstheme="majorBidi"/>
          <w:sz w:val="24"/>
          <w:szCs w:val="24"/>
        </w:rPr>
        <w:t>nm</w:t>
      </w:r>
      <w:r>
        <w:rPr>
          <w:rFonts w:asciiTheme="majorBidi" w:hAnsiTheme="majorBidi" w:cstheme="majorBidi"/>
          <w:sz w:val="24"/>
          <w:szCs w:val="24"/>
          <w:rtl/>
        </w:rPr>
        <w:t xml:space="preserve"> </w:t>
      </w:r>
      <w:r>
        <w:rPr>
          <w:rFonts w:asciiTheme="majorBidi" w:eastAsia="Times New Roman" w:hAnsiTheme="majorBidi" w:cstheme="majorBidi"/>
          <w:color w:val="000000"/>
          <w:sz w:val="24"/>
          <w:szCs w:val="24"/>
          <w:rtl/>
        </w:rPr>
        <w:t xml:space="preserve">598. </w:t>
      </w:r>
      <w:r>
        <w:rPr>
          <w:rFonts w:asciiTheme="majorBidi" w:hAnsiTheme="majorBidi" w:cstheme="majorBidi"/>
          <w:sz w:val="24"/>
          <w:szCs w:val="24"/>
          <w:rtl/>
        </w:rPr>
        <w:t xml:space="preserve">جميع الهياكل المحسنة تمت صناعتها على ركائز السليكون (نوع </w:t>
      </w:r>
      <w:r>
        <w:rPr>
          <w:rFonts w:asciiTheme="majorBidi" w:hAnsiTheme="majorBidi" w:cstheme="majorBidi"/>
          <w:sz w:val="24"/>
          <w:szCs w:val="24"/>
          <w:vertAlign w:val="superscript"/>
          <w:rtl/>
        </w:rPr>
        <w:t>+</w:t>
      </w:r>
      <w:r>
        <w:rPr>
          <w:rFonts w:asciiTheme="majorBidi" w:hAnsiTheme="majorBidi" w:cstheme="majorBidi"/>
          <w:sz w:val="24"/>
          <w:szCs w:val="24"/>
        </w:rPr>
        <w:t xml:space="preserve"> P</w:t>
      </w:r>
      <w:r>
        <w:rPr>
          <w:rFonts w:asciiTheme="majorBidi" w:hAnsiTheme="majorBidi" w:cstheme="majorBidi"/>
          <w:sz w:val="24"/>
          <w:szCs w:val="24"/>
          <w:rtl/>
        </w:rPr>
        <w:t>) باستعمال تقنية الحفر الكهروكيميائية٬ عند درجتي حرارة مختلفتين (</w:t>
      </w:r>
      <w:r>
        <w:rPr>
          <w:rFonts w:asciiTheme="majorBidi" w:hAnsiTheme="majorBidi" w:cstheme="majorBidi"/>
          <w:sz w:val="24"/>
          <w:szCs w:val="24"/>
        </w:rPr>
        <w:t>T = 20 C</w:t>
      </w:r>
      <w:proofErr w:type="gramStart"/>
      <w:r>
        <w:rPr>
          <w:rFonts w:asciiTheme="majorBidi" w:hAnsiTheme="majorBidi" w:cstheme="majorBidi"/>
          <w:sz w:val="24"/>
          <w:szCs w:val="24"/>
        </w:rPr>
        <w:t xml:space="preserve">° </w:t>
      </w:r>
      <w:r>
        <w:rPr>
          <w:rFonts w:asciiTheme="majorBidi" w:hAnsiTheme="majorBidi" w:cstheme="majorBidi"/>
          <w:sz w:val="24"/>
          <w:szCs w:val="24"/>
          <w:rtl/>
        </w:rPr>
        <w:t xml:space="preserve"> و</w:t>
      </w:r>
      <w:proofErr w:type="gramEnd"/>
      <w:r>
        <w:rPr>
          <w:rFonts w:asciiTheme="majorBidi" w:hAnsiTheme="majorBidi" w:cstheme="majorBidi"/>
          <w:sz w:val="24"/>
          <w:szCs w:val="24"/>
        </w:rPr>
        <w:t xml:space="preserve"> T=-20 C°</w:t>
      </w:r>
      <w:r>
        <w:rPr>
          <w:rFonts w:asciiTheme="majorBidi" w:hAnsiTheme="majorBidi" w:cstheme="majorBidi"/>
          <w:sz w:val="24"/>
          <w:szCs w:val="24"/>
          <w:rtl/>
        </w:rPr>
        <w:t>). في كل حالة قمنا بالبحث عن الشروط التجريبية (شدة تيار</w:t>
      </w:r>
      <w:r>
        <w:rPr>
          <w:rFonts w:asciiTheme="majorBidi" w:eastAsia="Times New Roman" w:hAnsiTheme="majorBidi" w:cstheme="majorBidi"/>
          <w:color w:val="000000"/>
          <w:sz w:val="24"/>
          <w:szCs w:val="24"/>
          <w:rtl/>
        </w:rPr>
        <w:t>،</w:t>
      </w:r>
      <w:r>
        <w:rPr>
          <w:rFonts w:asciiTheme="majorBidi" w:eastAsia="Times New Roman" w:hAnsiTheme="majorBidi" w:cstheme="majorBidi"/>
          <w:color w:val="000000"/>
          <w:sz w:val="24"/>
          <w:szCs w:val="24"/>
        </w:rPr>
        <w:t xml:space="preserve"> </w:t>
      </w:r>
      <w:r>
        <w:rPr>
          <w:rFonts w:asciiTheme="majorBidi" w:hAnsiTheme="majorBidi" w:cstheme="majorBidi"/>
          <w:sz w:val="24"/>
          <w:szCs w:val="24"/>
          <w:rtl/>
        </w:rPr>
        <w:t>سرعة الحفر وتركيز حمض الفليروديك في المحلول) التي تسمح لنا بصنع الهياكل المحسنة المذكورة سابقا. أظهرت</w:t>
      </w:r>
      <w:r>
        <w:rPr>
          <w:rFonts w:asciiTheme="majorBidi" w:hAnsiTheme="majorBidi" w:cstheme="majorBidi"/>
          <w:sz w:val="24"/>
          <w:szCs w:val="24"/>
        </w:rPr>
        <w:t xml:space="preserve"> </w:t>
      </w:r>
      <w:r>
        <w:rPr>
          <w:rFonts w:asciiTheme="majorBidi" w:hAnsiTheme="majorBidi" w:cstheme="majorBidi"/>
          <w:sz w:val="24"/>
          <w:szCs w:val="24"/>
          <w:rtl/>
        </w:rPr>
        <w:t xml:space="preserve">صور هيكل </w:t>
      </w:r>
      <w:r>
        <w:rPr>
          <w:rFonts w:asciiTheme="majorBidi" w:hAnsiTheme="majorBidi" w:cstheme="majorBidi"/>
          <w:sz w:val="24"/>
          <w:szCs w:val="24"/>
        </w:rPr>
        <w:t>MB</w:t>
      </w:r>
      <w:r>
        <w:rPr>
          <w:rFonts w:asciiTheme="majorBidi" w:hAnsiTheme="majorBidi" w:cstheme="majorBidi"/>
          <w:sz w:val="24"/>
          <w:szCs w:val="24"/>
          <w:rtl/>
        </w:rPr>
        <w:t xml:space="preserve"> </w:t>
      </w:r>
      <w:r>
        <w:rPr>
          <w:rFonts w:asciiTheme="majorBidi" w:hAnsiTheme="majorBidi" w:cstheme="majorBidi" w:hint="cs"/>
          <w:sz w:val="24"/>
          <w:szCs w:val="24"/>
          <w:rtl/>
        </w:rPr>
        <w:t xml:space="preserve">وهيكل </w:t>
      </w:r>
      <w:r>
        <w:rPr>
          <w:rFonts w:asciiTheme="majorBidi" w:hAnsiTheme="majorBidi" w:cstheme="majorBidi"/>
          <w:sz w:val="24"/>
          <w:szCs w:val="24"/>
        </w:rPr>
        <w:t>RBF</w:t>
      </w:r>
      <w:r>
        <w:rPr>
          <w:rFonts w:asciiTheme="majorBidi" w:hAnsiTheme="majorBidi" w:cstheme="majorBidi"/>
          <w:sz w:val="24"/>
          <w:szCs w:val="24"/>
          <w:rtl/>
        </w:rPr>
        <w:t xml:space="preserve"> </w:t>
      </w:r>
      <w:r>
        <w:rPr>
          <w:rFonts w:asciiTheme="majorBidi" w:hAnsiTheme="majorBidi" w:cstheme="majorBidi" w:hint="cs"/>
          <w:sz w:val="24"/>
          <w:szCs w:val="24"/>
          <w:rtl/>
        </w:rPr>
        <w:t>المأخوذة باستعمال مكروسكوب</w:t>
      </w:r>
      <w:r>
        <w:rPr>
          <w:rFonts w:asciiTheme="majorBidi" w:hAnsiTheme="majorBidi" w:cstheme="majorBidi"/>
          <w:sz w:val="24"/>
          <w:szCs w:val="24"/>
        </w:rPr>
        <w:t xml:space="preserve"> </w:t>
      </w:r>
      <w:r>
        <w:rPr>
          <w:rFonts w:asciiTheme="majorBidi" w:hAnsiTheme="majorBidi" w:cstheme="majorBidi"/>
          <w:sz w:val="24"/>
          <w:szCs w:val="24"/>
          <w:rtl/>
        </w:rPr>
        <w:t>الكتروني</w:t>
      </w:r>
      <w:r>
        <w:rPr>
          <w:rFonts w:asciiTheme="majorBidi" w:hAnsiTheme="majorBidi" w:cstheme="majorBidi"/>
          <w:sz w:val="24"/>
          <w:szCs w:val="24"/>
        </w:rPr>
        <w:t xml:space="preserve"> </w:t>
      </w:r>
      <w:r>
        <w:rPr>
          <w:rFonts w:asciiTheme="majorBidi" w:hAnsiTheme="majorBidi" w:cstheme="majorBidi"/>
          <w:sz w:val="24"/>
          <w:szCs w:val="24"/>
          <w:rtl/>
        </w:rPr>
        <w:t>المسح (</w:t>
      </w:r>
      <w:r>
        <w:rPr>
          <w:rFonts w:asciiTheme="majorBidi" w:hAnsiTheme="majorBidi" w:cstheme="majorBidi"/>
          <w:sz w:val="24"/>
          <w:szCs w:val="24"/>
        </w:rPr>
        <w:t>MEB</w:t>
      </w:r>
      <w:r>
        <w:rPr>
          <w:rFonts w:asciiTheme="majorBidi" w:hAnsiTheme="majorBidi" w:cstheme="majorBidi"/>
          <w:sz w:val="24"/>
          <w:szCs w:val="24"/>
          <w:rtl/>
        </w:rPr>
        <w:t>)</w:t>
      </w:r>
      <w:r>
        <w:rPr>
          <w:rFonts w:asciiTheme="majorBidi" w:eastAsia="Times New Roman" w:hAnsiTheme="majorBidi" w:cstheme="majorBidi"/>
          <w:color w:val="000000"/>
          <w:sz w:val="24"/>
          <w:szCs w:val="24"/>
          <w:rtl/>
        </w:rPr>
        <w:t>،</w:t>
      </w:r>
      <w:r>
        <w:rPr>
          <w:rFonts w:asciiTheme="majorBidi" w:hAnsiTheme="majorBidi" w:cstheme="majorBidi"/>
          <w:sz w:val="24"/>
          <w:szCs w:val="24"/>
          <w:rtl/>
        </w:rPr>
        <w:t xml:space="preserve"> التكوين الدوري لطبقات السليكون المسامي المختلفة. في المقابل٬ كان معامل الإنعكاس الخاص بالهياكل المصنوعة في درجة حرارة منخفضة٬ في المجال الطيفي المرغب فيه مقارنة مع معامل الإنعكاس الخاص٬ بالهياكل المصنوعة في درجة حرارة الغرفة. هدا يثبت أن درجات الحرارة المنخفضة تساعد جيدا في تحسين صناعة طبقات السليكون المسامي. في نهاية </w:t>
      </w:r>
      <w:r>
        <w:rPr>
          <w:rFonts w:asciiTheme="majorBidi" w:eastAsia="Times New Roman" w:hAnsiTheme="majorBidi" w:cstheme="majorBidi"/>
          <w:color w:val="000000"/>
          <w:sz w:val="24"/>
          <w:szCs w:val="24"/>
          <w:rtl/>
        </w:rPr>
        <w:t>هذا العمل</w:t>
      </w:r>
      <w:r>
        <w:rPr>
          <w:rFonts w:asciiTheme="majorBidi" w:hAnsiTheme="majorBidi" w:cstheme="majorBidi"/>
          <w:sz w:val="24"/>
          <w:szCs w:val="24"/>
          <w:rtl/>
        </w:rPr>
        <w:t xml:space="preserve">٬ تم حساب معامل الإنعكاس الداخلي </w:t>
      </w:r>
      <w:r>
        <w:rPr>
          <w:rFonts w:asciiTheme="majorBidi" w:hAnsiTheme="majorBidi" w:cstheme="majorBidi"/>
          <w:sz w:val="24"/>
          <w:szCs w:val="24"/>
        </w:rPr>
        <w:t>(R</w:t>
      </w:r>
      <w:r>
        <w:rPr>
          <w:rFonts w:asciiTheme="majorBidi" w:hAnsiTheme="majorBidi" w:cstheme="majorBidi"/>
          <w:sz w:val="24"/>
          <w:szCs w:val="24"/>
          <w:vertAlign w:val="subscript"/>
        </w:rPr>
        <w:t>B</w:t>
      </w:r>
      <w:r>
        <w:rPr>
          <w:rFonts w:asciiTheme="majorBidi" w:hAnsiTheme="majorBidi" w:cstheme="majorBidi"/>
          <w:sz w:val="24"/>
          <w:szCs w:val="24"/>
        </w:rPr>
        <w:t>)</w:t>
      </w:r>
      <w:r>
        <w:rPr>
          <w:rFonts w:asciiTheme="majorBidi" w:hAnsiTheme="majorBidi" w:cstheme="majorBidi"/>
          <w:sz w:val="24"/>
          <w:szCs w:val="24"/>
          <w:rtl/>
        </w:rPr>
        <w:t xml:space="preserve">٬ معامل امتصاص الضوء </w:t>
      </w:r>
      <w:r>
        <w:rPr>
          <w:rFonts w:asciiTheme="majorBidi" w:hAnsiTheme="majorBidi" w:cstheme="majorBidi"/>
          <w:sz w:val="24"/>
          <w:szCs w:val="24"/>
        </w:rPr>
        <w:t>(A)</w:t>
      </w:r>
      <w:r>
        <w:rPr>
          <w:rFonts w:asciiTheme="majorBidi" w:hAnsiTheme="majorBidi" w:cstheme="majorBidi"/>
          <w:sz w:val="24"/>
          <w:szCs w:val="24"/>
          <w:rtl/>
        </w:rPr>
        <w:t xml:space="preserve"> وشدة التيار الضوئي </w:t>
      </w:r>
      <w:r>
        <w:rPr>
          <w:rFonts w:asciiTheme="majorBidi" w:hAnsiTheme="majorBidi" w:cstheme="majorBidi"/>
          <w:sz w:val="24"/>
          <w:szCs w:val="24"/>
        </w:rPr>
        <w:t>(J</w:t>
      </w:r>
      <w:r>
        <w:rPr>
          <w:rFonts w:asciiTheme="majorBidi" w:hAnsiTheme="majorBidi" w:cstheme="majorBidi"/>
          <w:sz w:val="24"/>
          <w:szCs w:val="24"/>
          <w:vertAlign w:val="subscript"/>
        </w:rPr>
        <w:t>ph</w:t>
      </w:r>
      <w:r>
        <w:rPr>
          <w:rFonts w:asciiTheme="majorBidi" w:hAnsiTheme="majorBidi" w:cstheme="majorBidi"/>
          <w:sz w:val="24"/>
          <w:szCs w:val="24"/>
        </w:rPr>
        <w:t>)</w:t>
      </w:r>
      <w:r>
        <w:rPr>
          <w:rFonts w:asciiTheme="majorBidi" w:hAnsiTheme="majorBidi" w:cstheme="majorBidi"/>
          <w:sz w:val="24"/>
          <w:szCs w:val="24"/>
          <w:rtl/>
        </w:rPr>
        <w:t xml:space="preserve"> لعاكس خلفي مكون من طبقة واحدة من السليكون المسامي </w:t>
      </w:r>
      <w:r>
        <w:rPr>
          <w:rFonts w:asciiTheme="majorBidi" w:hAnsiTheme="majorBidi" w:cstheme="majorBidi"/>
          <w:sz w:val="24"/>
          <w:szCs w:val="24"/>
        </w:rPr>
        <w:t>(Si/ PS)</w:t>
      </w:r>
      <w:r>
        <w:rPr>
          <w:rFonts w:asciiTheme="majorBidi" w:hAnsiTheme="majorBidi" w:cstheme="majorBidi"/>
          <w:sz w:val="24"/>
          <w:szCs w:val="24"/>
          <w:rtl/>
        </w:rPr>
        <w:t xml:space="preserve"> كذلك العاكس المكون من سبيكة الألمنيوم </w:t>
      </w:r>
      <w:r>
        <w:rPr>
          <w:rFonts w:asciiTheme="majorBidi" w:hAnsiTheme="majorBidi" w:cstheme="majorBidi"/>
          <w:sz w:val="24"/>
          <w:szCs w:val="24"/>
        </w:rPr>
        <w:t>(Si/ Al)</w:t>
      </w:r>
      <w:r>
        <w:rPr>
          <w:rFonts w:asciiTheme="majorBidi" w:hAnsiTheme="majorBidi" w:cstheme="majorBidi"/>
          <w:sz w:val="24"/>
          <w:szCs w:val="24"/>
          <w:rtl/>
        </w:rPr>
        <w:t>. بلغ معامل الإنعكاس الداخلي</w:t>
      </w:r>
      <w:r>
        <w:rPr>
          <w:rFonts w:asciiTheme="majorBidi" w:hAnsiTheme="majorBidi" w:cstheme="majorBidi"/>
          <w:sz w:val="24"/>
          <w:szCs w:val="24"/>
          <w:vertAlign w:val="subscript"/>
          <w:rtl/>
        </w:rPr>
        <w:t xml:space="preserve"> </w:t>
      </w:r>
      <w:r>
        <w:rPr>
          <w:rFonts w:asciiTheme="majorBidi" w:hAnsiTheme="majorBidi" w:cstheme="majorBidi"/>
          <w:sz w:val="24"/>
          <w:szCs w:val="24"/>
          <w:rtl/>
        </w:rPr>
        <w:t xml:space="preserve">للعاكس </w:t>
      </w:r>
      <w:r>
        <w:rPr>
          <w:rFonts w:asciiTheme="majorBidi" w:hAnsiTheme="majorBidi" w:cstheme="majorBidi"/>
          <w:sz w:val="24"/>
          <w:szCs w:val="24"/>
        </w:rPr>
        <w:t>(Si/ PS)</w:t>
      </w:r>
      <w:r>
        <w:rPr>
          <w:rFonts w:asciiTheme="majorBidi" w:hAnsiTheme="majorBidi" w:cstheme="majorBidi"/>
          <w:sz w:val="24"/>
          <w:szCs w:val="24"/>
          <w:rtl/>
        </w:rPr>
        <w:t xml:space="preserve"> قيمة تقدر ب 86 </w:t>
      </w:r>
      <w:r>
        <w:rPr>
          <w:rFonts w:asciiTheme="majorBidi" w:eastAsia="Times New Roman" w:hAnsiTheme="majorBidi" w:cstheme="majorBidi"/>
          <w:color w:val="000000"/>
          <w:sz w:val="24"/>
          <w:szCs w:val="24"/>
          <w:rtl/>
        </w:rPr>
        <w:t xml:space="preserve">٪ </w:t>
      </w:r>
      <w:r>
        <w:rPr>
          <w:rFonts w:asciiTheme="majorBidi" w:hAnsiTheme="majorBidi" w:cstheme="majorBidi"/>
          <w:sz w:val="24"/>
          <w:szCs w:val="24"/>
          <w:rtl/>
        </w:rPr>
        <w:t>٬ ساهم هذا في تحسين معامل الإنعكاس الداخلي</w:t>
      </w:r>
      <w:r>
        <w:rPr>
          <w:rFonts w:asciiTheme="majorBidi" w:hAnsiTheme="majorBidi" w:cstheme="majorBidi"/>
          <w:sz w:val="24"/>
          <w:szCs w:val="24"/>
          <w:vertAlign w:val="subscript"/>
          <w:rtl/>
        </w:rPr>
        <w:t xml:space="preserve"> </w:t>
      </w:r>
      <w:r>
        <w:rPr>
          <w:rFonts w:asciiTheme="majorBidi" w:hAnsiTheme="majorBidi" w:cstheme="majorBidi"/>
          <w:sz w:val="24"/>
          <w:szCs w:val="24"/>
          <w:rtl/>
        </w:rPr>
        <w:t xml:space="preserve">بنسبة 17 ٪ مقارنة مع العاكس الخلفي: </w:t>
      </w:r>
      <w:r>
        <w:rPr>
          <w:rFonts w:asciiTheme="majorBidi" w:hAnsiTheme="majorBidi" w:cstheme="majorBidi"/>
          <w:sz w:val="24"/>
          <w:szCs w:val="24"/>
        </w:rPr>
        <w:t>Si/ Al</w:t>
      </w:r>
      <w:r>
        <w:rPr>
          <w:rFonts w:asciiTheme="majorBidi" w:hAnsiTheme="majorBidi" w:cstheme="majorBidi"/>
          <w:sz w:val="24"/>
          <w:szCs w:val="24"/>
          <w:rtl/>
        </w:rPr>
        <w:t>. أدى ارتفاع معامل الإنعكاس الداخلي</w:t>
      </w:r>
      <w:r>
        <w:rPr>
          <w:rFonts w:asciiTheme="majorBidi" w:hAnsiTheme="majorBidi" w:cstheme="majorBidi"/>
          <w:sz w:val="24"/>
          <w:szCs w:val="24"/>
          <w:vertAlign w:val="subscript"/>
          <w:rtl/>
        </w:rPr>
        <w:t xml:space="preserve"> </w:t>
      </w:r>
      <w:r>
        <w:rPr>
          <w:rFonts w:asciiTheme="majorBidi" w:hAnsiTheme="majorBidi" w:cstheme="majorBidi"/>
          <w:sz w:val="24"/>
          <w:szCs w:val="24"/>
          <w:rtl/>
        </w:rPr>
        <w:t xml:space="preserve">للعاكس </w:t>
      </w:r>
      <w:r>
        <w:rPr>
          <w:rFonts w:asciiTheme="majorBidi" w:hAnsiTheme="majorBidi" w:cstheme="majorBidi"/>
          <w:sz w:val="24"/>
          <w:szCs w:val="24"/>
        </w:rPr>
        <w:t>(Si/ PS)</w:t>
      </w:r>
      <w:r>
        <w:rPr>
          <w:rFonts w:asciiTheme="majorBidi" w:hAnsiTheme="majorBidi" w:cstheme="majorBidi"/>
          <w:sz w:val="24"/>
          <w:szCs w:val="24"/>
          <w:rtl/>
        </w:rPr>
        <w:t xml:space="preserve"> الى تحسين معامل امتصاص الضوء وشدة التيار الضوئي حيث بلغت هده الأخيرة قيمة تقدر ب </w:t>
      </w:r>
      <w:r>
        <w:rPr>
          <w:rFonts w:asciiTheme="majorBidi" w:hAnsiTheme="majorBidi" w:cstheme="majorBidi"/>
          <w:sz w:val="24"/>
          <w:szCs w:val="24"/>
        </w:rPr>
        <w:t>mA. cm</w:t>
      </w:r>
      <w:r>
        <w:rPr>
          <w:rFonts w:asciiTheme="majorBidi" w:hAnsiTheme="majorBidi" w:cstheme="majorBidi"/>
          <w:sz w:val="24"/>
          <w:szCs w:val="24"/>
          <w:vertAlign w:val="superscript"/>
        </w:rPr>
        <w:t>-2</w:t>
      </w:r>
      <w:r>
        <w:rPr>
          <w:rFonts w:asciiTheme="majorBidi" w:hAnsiTheme="majorBidi" w:cstheme="majorBidi"/>
          <w:sz w:val="24"/>
          <w:szCs w:val="24"/>
          <w:rtl/>
        </w:rPr>
        <w:t xml:space="preserve"> 32 من أجل العاكس </w:t>
      </w:r>
      <w:r>
        <w:rPr>
          <w:rFonts w:asciiTheme="majorBidi" w:hAnsiTheme="majorBidi" w:cstheme="majorBidi"/>
          <w:sz w:val="24"/>
          <w:szCs w:val="24"/>
        </w:rPr>
        <w:t>(Si/ PS)</w:t>
      </w:r>
      <w:r>
        <w:rPr>
          <w:rFonts w:asciiTheme="majorBidi" w:hAnsiTheme="majorBidi" w:cstheme="majorBidi"/>
          <w:sz w:val="24"/>
          <w:szCs w:val="24"/>
          <w:rtl/>
        </w:rPr>
        <w:t xml:space="preserve"> و</w:t>
      </w:r>
      <w:r>
        <w:rPr>
          <w:rFonts w:asciiTheme="majorBidi" w:hAnsiTheme="majorBidi" w:cstheme="majorBidi"/>
          <w:sz w:val="24"/>
          <w:szCs w:val="24"/>
        </w:rPr>
        <w:t xml:space="preserve"> mA. cm</w:t>
      </w:r>
      <w:r>
        <w:rPr>
          <w:rFonts w:asciiTheme="majorBidi" w:hAnsiTheme="majorBidi" w:cstheme="majorBidi"/>
          <w:sz w:val="24"/>
          <w:szCs w:val="24"/>
          <w:vertAlign w:val="superscript"/>
        </w:rPr>
        <w:t>-2</w:t>
      </w:r>
      <w:r>
        <w:rPr>
          <w:rFonts w:asciiTheme="majorBidi" w:hAnsiTheme="majorBidi" w:cstheme="majorBidi"/>
          <w:sz w:val="24"/>
          <w:szCs w:val="24"/>
          <w:vertAlign w:val="superscript"/>
          <w:rtl/>
        </w:rPr>
        <w:t xml:space="preserve"> </w:t>
      </w:r>
      <w:r>
        <w:rPr>
          <w:rFonts w:asciiTheme="majorBidi" w:hAnsiTheme="majorBidi" w:cstheme="majorBidi"/>
          <w:sz w:val="24"/>
          <w:szCs w:val="24"/>
          <w:rtl/>
        </w:rPr>
        <w:t xml:space="preserve">30.6 من أجل العاكس </w:t>
      </w:r>
      <w:r>
        <w:rPr>
          <w:rFonts w:asciiTheme="majorBidi" w:hAnsiTheme="majorBidi" w:cstheme="majorBidi"/>
          <w:sz w:val="24"/>
          <w:szCs w:val="24"/>
        </w:rPr>
        <w:t>(Si/ Al)</w:t>
      </w:r>
      <w:r>
        <w:rPr>
          <w:rFonts w:asciiTheme="majorBidi" w:hAnsiTheme="majorBidi" w:cstheme="majorBidi"/>
          <w:sz w:val="24"/>
          <w:szCs w:val="24"/>
          <w:rtl/>
        </w:rPr>
        <w:t>.</w:t>
      </w:r>
    </w:p>
    <w:p w:rsidR="00040138" w:rsidRDefault="00040138" w:rsidP="00040138">
      <w:pPr>
        <w:bidi/>
        <w:spacing w:after="0" w:line="420" w:lineRule="atLeast"/>
        <w:jc w:val="both"/>
        <w:rPr>
          <w:rFonts w:asciiTheme="majorBidi" w:hAnsiTheme="majorBidi" w:cstheme="majorBidi"/>
          <w:sz w:val="24"/>
          <w:szCs w:val="24"/>
          <w:rtl/>
        </w:rPr>
      </w:pPr>
    </w:p>
    <w:p w:rsidR="00040138" w:rsidRDefault="00040138" w:rsidP="00040138">
      <w:pPr>
        <w:bidi/>
        <w:jc w:val="both"/>
        <w:rPr>
          <w:rFonts w:asciiTheme="majorBidi" w:hAnsiTheme="majorBidi" w:cs="Arial"/>
        </w:rPr>
      </w:pPr>
      <w:r>
        <w:rPr>
          <w:rFonts w:asciiTheme="majorBidi" w:hAnsiTheme="majorBidi" w:cstheme="majorBidi"/>
          <w:b/>
          <w:bCs/>
          <w:sz w:val="24"/>
          <w:szCs w:val="24"/>
          <w:rtl/>
        </w:rPr>
        <w:t>الكلمات المفتاحية:</w:t>
      </w:r>
      <w:r>
        <w:rPr>
          <w:rFonts w:asciiTheme="majorBidi" w:hAnsiTheme="majorBidi" w:cstheme="majorBidi"/>
          <w:sz w:val="24"/>
          <w:szCs w:val="24"/>
          <w:rtl/>
        </w:rPr>
        <w:t xml:space="preserve"> الخلايا الكهروضوئية ذات طبقات رقيقة٬</w:t>
      </w:r>
      <w:r>
        <w:rPr>
          <w:rFonts w:asciiTheme="majorBidi" w:hAnsiTheme="majorBidi" w:cstheme="majorBidi"/>
          <w:sz w:val="24"/>
          <w:szCs w:val="24"/>
        </w:rPr>
        <w:t xml:space="preserve"> </w:t>
      </w:r>
      <w:r>
        <w:rPr>
          <w:rFonts w:asciiTheme="majorBidi" w:hAnsiTheme="majorBidi" w:cstheme="majorBidi"/>
          <w:sz w:val="24"/>
          <w:szCs w:val="24"/>
          <w:rtl/>
        </w:rPr>
        <w:t>عاكس ضوء خلفي٬ مراة براغ٬ طيف معامل الإنعكاس٬ سليكون مسامي٬ المسامية٬ تقنية الحفر الكهروكيميائية.</w:t>
      </w:r>
      <w:r>
        <w:rPr>
          <w:rFonts w:cs="Arial"/>
          <w:rtl/>
        </w:rPr>
        <w:t xml:space="preserve">  </w:t>
      </w:r>
    </w:p>
    <w:p w:rsidR="00040138" w:rsidRDefault="00040138" w:rsidP="00040138">
      <w:pPr>
        <w:rPr>
          <w:rFonts w:asciiTheme="majorBidi" w:hAnsiTheme="majorBidi" w:cstheme="majorBidi"/>
          <w:b/>
          <w:bCs/>
          <w:sz w:val="36"/>
          <w:szCs w:val="36"/>
          <w:u w:val="single"/>
          <w:rtl/>
          <w:lang w:val="en-US"/>
        </w:rPr>
      </w:pPr>
    </w:p>
    <w:p w:rsidR="00040138" w:rsidRDefault="00040138" w:rsidP="00040138">
      <w:pPr>
        <w:rPr>
          <w:rFonts w:asciiTheme="majorBidi" w:hAnsiTheme="majorBidi" w:cstheme="majorBidi"/>
          <w:b/>
          <w:bCs/>
          <w:sz w:val="36"/>
          <w:szCs w:val="36"/>
          <w:u w:val="single"/>
          <w:lang w:val="en-US"/>
        </w:rPr>
      </w:pPr>
    </w:p>
    <w:p w:rsidR="00040138" w:rsidRDefault="00040138" w:rsidP="00040138">
      <w:pPr>
        <w:rPr>
          <w:rFonts w:asciiTheme="majorBidi" w:hAnsiTheme="majorBidi" w:cstheme="majorBidi"/>
          <w:b/>
          <w:bCs/>
          <w:sz w:val="36"/>
          <w:szCs w:val="36"/>
          <w:u w:val="single"/>
          <w:lang w:val="en-US"/>
        </w:rPr>
      </w:pPr>
    </w:p>
    <w:p w:rsidR="00040138" w:rsidRDefault="00040138" w:rsidP="00040138">
      <w:pPr>
        <w:rPr>
          <w:rFonts w:asciiTheme="majorBidi" w:hAnsiTheme="majorBidi" w:cstheme="majorBidi"/>
          <w:b/>
          <w:bCs/>
          <w:sz w:val="36"/>
          <w:szCs w:val="36"/>
          <w:u w:val="single"/>
          <w:lang w:val="en-US"/>
        </w:rPr>
      </w:pPr>
      <w:r>
        <w:rPr>
          <w:rFonts w:asciiTheme="majorBidi" w:hAnsiTheme="majorBidi" w:cstheme="majorBidi"/>
          <w:b/>
          <w:bCs/>
          <w:sz w:val="36"/>
          <w:szCs w:val="36"/>
          <w:u w:val="single"/>
          <w:lang w:val="en-US"/>
        </w:rPr>
        <w:lastRenderedPageBreak/>
        <w:t>Abstract</w:t>
      </w:r>
    </w:p>
    <w:p w:rsidR="00040138" w:rsidRDefault="00040138" w:rsidP="00040138">
      <w:pPr>
        <w:jc w:val="both"/>
        <w:rPr>
          <w:rFonts w:asciiTheme="majorBidi" w:hAnsiTheme="majorBidi" w:cstheme="majorBidi"/>
          <w:sz w:val="24"/>
          <w:szCs w:val="24"/>
          <w:lang w:val="en-US"/>
        </w:rPr>
      </w:pPr>
      <w:r>
        <w:rPr>
          <w:rFonts w:asciiTheme="majorBidi" w:hAnsiTheme="majorBidi" w:cstheme="majorBidi"/>
          <w:sz w:val="24"/>
          <w:szCs w:val="24"/>
          <w:lang w:val="en-US"/>
        </w:rPr>
        <w:t xml:space="preserve">The aim of this thesis is to study and elaborate the various porous silicon multilayer structures in order to use it as a rear reflector (RA) for thin crystalline silicon solar cells. These different structures are: (i) Bragg Mirror (BM), (ii) Chirped Bragg reflector (CBR), (iii) Adjacent Chirped Bragg mirrors (ACBM), (v) Bragg Reflector based on Fermi Profile (FBR) and (v) Optimized PS Multilayer structure. The reflectivity spectra of these different structures </w:t>
      </w:r>
      <w:proofErr w:type="gramStart"/>
      <w:r>
        <w:rPr>
          <w:rFonts w:asciiTheme="majorBidi" w:hAnsiTheme="majorBidi" w:cstheme="majorBidi"/>
          <w:sz w:val="24"/>
          <w:szCs w:val="24"/>
          <w:lang w:val="en-US"/>
        </w:rPr>
        <w:t>are optimized</w:t>
      </w:r>
      <w:proofErr w:type="gramEnd"/>
      <w:r>
        <w:rPr>
          <w:rFonts w:asciiTheme="majorBidi" w:hAnsiTheme="majorBidi" w:cstheme="majorBidi"/>
          <w:sz w:val="24"/>
          <w:szCs w:val="24"/>
          <w:lang w:val="en-US"/>
        </w:rPr>
        <w:t xml:space="preserve">, in the wavelength range 800 – 1200 nm. The optimization </w:t>
      </w:r>
      <w:proofErr w:type="gramStart"/>
      <w:r>
        <w:rPr>
          <w:rFonts w:asciiTheme="majorBidi" w:hAnsiTheme="majorBidi" w:cstheme="majorBidi"/>
          <w:sz w:val="24"/>
          <w:szCs w:val="24"/>
          <w:lang w:val="en-US"/>
        </w:rPr>
        <w:t>is performed</w:t>
      </w:r>
      <w:proofErr w:type="gramEnd"/>
      <w:r>
        <w:rPr>
          <w:rFonts w:asciiTheme="majorBidi" w:hAnsiTheme="majorBidi" w:cstheme="majorBidi"/>
          <w:sz w:val="24"/>
          <w:szCs w:val="24"/>
          <w:lang w:val="en-US"/>
        </w:rPr>
        <w:t xml:space="preserve"> in relation to the parameters: thickness, porosity and number of periods. Simulation results show that the reflectivity spectrum of BM </w:t>
      </w:r>
      <w:proofErr w:type="gramStart"/>
      <w:r>
        <w:rPr>
          <w:rFonts w:asciiTheme="majorBidi" w:hAnsiTheme="majorBidi" w:cstheme="majorBidi"/>
          <w:sz w:val="24"/>
          <w:szCs w:val="24"/>
          <w:lang w:val="en-US"/>
        </w:rPr>
        <w:t>is limited</w:t>
      </w:r>
      <w:proofErr w:type="gramEnd"/>
      <w:r>
        <w:rPr>
          <w:rFonts w:asciiTheme="majorBidi" w:hAnsiTheme="majorBidi" w:cstheme="majorBidi"/>
          <w:sz w:val="24"/>
          <w:szCs w:val="24"/>
          <w:lang w:val="en-US"/>
        </w:rPr>
        <w:t xml:space="preserve"> by the ratio of the refractive indices of two stacked layers. For 20 layers stacked of PS, the different structures with variable thicknesses show extended reflectivity spectra in comparison with that of the BM. However, the best optical response </w:t>
      </w:r>
      <w:proofErr w:type="gramStart"/>
      <w:r>
        <w:rPr>
          <w:rFonts w:asciiTheme="majorBidi" w:hAnsiTheme="majorBidi" w:cstheme="majorBidi"/>
          <w:sz w:val="24"/>
          <w:szCs w:val="24"/>
          <w:lang w:val="en-US"/>
        </w:rPr>
        <w:t>is obtained</w:t>
      </w:r>
      <w:proofErr w:type="gramEnd"/>
      <w:r>
        <w:rPr>
          <w:rFonts w:asciiTheme="majorBidi" w:hAnsiTheme="majorBidi" w:cstheme="majorBidi"/>
          <w:sz w:val="24"/>
          <w:szCs w:val="24"/>
          <w:lang w:val="en-US"/>
        </w:rPr>
        <w:t xml:space="preserve"> for the FBR structure. This type of rear reflector could reflect more than 80% of light over a spectral range of 598 nm. About of 56</w:t>
      </w:r>
      <w:proofErr w:type="gramStart"/>
      <w:r>
        <w:rPr>
          <w:rFonts w:asciiTheme="majorBidi" w:hAnsiTheme="majorBidi" w:cstheme="majorBidi"/>
          <w:sz w:val="24"/>
          <w:szCs w:val="24"/>
          <w:lang w:val="en-US"/>
        </w:rPr>
        <w:t>,18</w:t>
      </w:r>
      <w:proofErr w:type="gramEnd"/>
      <w:r>
        <w:rPr>
          <w:rFonts w:asciiTheme="majorBidi" w:hAnsiTheme="majorBidi" w:cstheme="majorBidi"/>
          <w:sz w:val="24"/>
          <w:szCs w:val="24"/>
          <w:lang w:val="en-US"/>
        </w:rPr>
        <w:t xml:space="preserve"> % improvement in photonic band gap is achieved compared to the standard structure. These structures </w:t>
      </w:r>
      <w:proofErr w:type="gramStart"/>
      <w:r>
        <w:rPr>
          <w:rFonts w:asciiTheme="majorBidi" w:hAnsiTheme="majorBidi" w:cstheme="majorBidi"/>
          <w:sz w:val="24"/>
          <w:szCs w:val="24"/>
          <w:lang w:val="en-US"/>
        </w:rPr>
        <w:t>are then elaborated</w:t>
      </w:r>
      <w:proofErr w:type="gramEnd"/>
      <w:r>
        <w:rPr>
          <w:rFonts w:asciiTheme="majorBidi" w:hAnsiTheme="majorBidi" w:cstheme="majorBidi"/>
          <w:sz w:val="24"/>
          <w:szCs w:val="24"/>
          <w:lang w:val="en-US"/>
        </w:rPr>
        <w:t xml:space="preserve"> by anodization process of P</w:t>
      </w:r>
      <w:r>
        <w:rPr>
          <w:rFonts w:asciiTheme="majorBidi" w:hAnsiTheme="majorBidi" w:cstheme="majorBidi"/>
          <w:sz w:val="24"/>
          <w:szCs w:val="24"/>
          <w:vertAlign w:val="superscript"/>
          <w:lang w:val="en-US"/>
        </w:rPr>
        <w:t>+</w:t>
      </w:r>
      <w:r>
        <w:rPr>
          <w:rFonts w:asciiTheme="majorBidi" w:hAnsiTheme="majorBidi" w:cstheme="majorBidi"/>
          <w:sz w:val="24"/>
          <w:szCs w:val="24"/>
          <w:lang w:val="en-US"/>
        </w:rPr>
        <w:t xml:space="preserve"> type of silicon substrates under different temperatures: T = 20 C° and T= -20 C°. The SEM images taken for the BM and RBF shows the periodicity of two porous layers stacked on top of each other. In contrast, the reflectivity spectra measured for structures prepared at low temperature (T = -20°C) are obtained in the desired spectral range and they are very close to the simulated spectra. This shows that anodizing PS layers at low temperature could improve their reproducibility and quality. This thesis work is completed by the calculation of the internal reflectivity (R</w:t>
      </w:r>
      <w:r>
        <w:rPr>
          <w:rFonts w:asciiTheme="majorBidi" w:hAnsiTheme="majorBidi" w:cstheme="majorBidi"/>
          <w:sz w:val="24"/>
          <w:szCs w:val="24"/>
          <w:vertAlign w:val="subscript"/>
          <w:lang w:val="en-US"/>
        </w:rPr>
        <w:t>B</w:t>
      </w:r>
      <w:r>
        <w:rPr>
          <w:rFonts w:asciiTheme="majorBidi" w:hAnsiTheme="majorBidi" w:cstheme="majorBidi"/>
          <w:sz w:val="24"/>
          <w:szCs w:val="24"/>
          <w:lang w:val="en-US"/>
        </w:rPr>
        <w:t>), absorption factor (A), and the photoncurrent (J</w:t>
      </w:r>
      <w:r>
        <w:rPr>
          <w:rFonts w:asciiTheme="majorBidi" w:hAnsiTheme="majorBidi" w:cstheme="majorBidi"/>
          <w:sz w:val="24"/>
          <w:szCs w:val="24"/>
          <w:vertAlign w:val="subscript"/>
          <w:lang w:val="en-US"/>
        </w:rPr>
        <w:t>ph</w:t>
      </w:r>
      <w:r>
        <w:rPr>
          <w:rFonts w:asciiTheme="majorBidi" w:hAnsiTheme="majorBidi" w:cstheme="majorBidi"/>
          <w:sz w:val="24"/>
          <w:szCs w:val="24"/>
          <w:lang w:val="en-US"/>
        </w:rPr>
        <w:t>) of a PS reflective layer (structure Si/ SP) made on a P type silicon substrate, polished on both sides, and the structure with full aluminum plate (Si/Al). The R</w:t>
      </w:r>
      <w:r>
        <w:rPr>
          <w:rFonts w:asciiTheme="majorBidi" w:hAnsiTheme="majorBidi" w:cstheme="majorBidi"/>
          <w:sz w:val="24"/>
          <w:szCs w:val="24"/>
          <w:vertAlign w:val="subscript"/>
          <w:lang w:val="en-US"/>
        </w:rPr>
        <w:t>B</w:t>
      </w:r>
      <w:r>
        <w:rPr>
          <w:rFonts w:asciiTheme="majorBidi" w:hAnsiTheme="majorBidi" w:cstheme="majorBidi"/>
          <w:sz w:val="24"/>
          <w:szCs w:val="24"/>
          <w:lang w:val="en-US"/>
        </w:rPr>
        <w:t xml:space="preserve"> of Si/ PS structure reaches value of 86% in the interval: 800-1150, the improvement </w:t>
      </w:r>
      <w:proofErr w:type="gramStart"/>
      <w:r>
        <w:rPr>
          <w:rFonts w:asciiTheme="majorBidi" w:hAnsiTheme="majorBidi" w:cstheme="majorBidi"/>
          <w:sz w:val="24"/>
          <w:szCs w:val="24"/>
          <w:lang w:val="en-US"/>
        </w:rPr>
        <w:t>is estimated</w:t>
      </w:r>
      <w:proofErr w:type="gramEnd"/>
      <w:r>
        <w:rPr>
          <w:rFonts w:asciiTheme="majorBidi" w:hAnsiTheme="majorBidi" w:cstheme="majorBidi"/>
          <w:sz w:val="24"/>
          <w:szCs w:val="24"/>
          <w:lang w:val="en-US"/>
        </w:rPr>
        <w:t xml:space="preserve"> at more than 17% compared to the full plate Aluminum (Si/ Al). As a result, absorption factor and photocurrent are improved: The calculated J</w:t>
      </w:r>
      <w:r>
        <w:rPr>
          <w:rFonts w:asciiTheme="majorBidi" w:hAnsiTheme="majorBidi" w:cstheme="majorBidi"/>
          <w:sz w:val="24"/>
          <w:szCs w:val="24"/>
          <w:vertAlign w:val="subscript"/>
          <w:lang w:val="en-US"/>
        </w:rPr>
        <w:t>ph</w:t>
      </w:r>
      <w:r>
        <w:rPr>
          <w:rFonts w:asciiTheme="majorBidi" w:hAnsiTheme="majorBidi" w:cstheme="majorBidi"/>
          <w:sz w:val="24"/>
          <w:szCs w:val="24"/>
          <w:lang w:val="en-US"/>
        </w:rPr>
        <w:t xml:space="preserve"> is about 32 and 30</w:t>
      </w:r>
      <w:proofErr w:type="gramStart"/>
      <w:r>
        <w:rPr>
          <w:rFonts w:asciiTheme="majorBidi" w:hAnsiTheme="majorBidi" w:cstheme="majorBidi"/>
          <w:sz w:val="24"/>
          <w:szCs w:val="24"/>
          <w:lang w:val="en-US"/>
        </w:rPr>
        <w:t>,6</w:t>
      </w:r>
      <w:proofErr w:type="gramEnd"/>
      <w:r>
        <w:rPr>
          <w:rFonts w:asciiTheme="majorBidi" w:hAnsiTheme="majorBidi" w:cstheme="majorBidi"/>
          <w:sz w:val="24"/>
          <w:szCs w:val="24"/>
          <w:lang w:val="en-US"/>
        </w:rPr>
        <w:t xml:space="preserve"> mA. </w:t>
      </w:r>
      <w:proofErr w:type="gramStart"/>
      <w:r>
        <w:rPr>
          <w:rFonts w:asciiTheme="majorBidi" w:hAnsiTheme="majorBidi" w:cstheme="majorBidi"/>
          <w:sz w:val="24"/>
          <w:szCs w:val="24"/>
          <w:lang w:val="en-US"/>
        </w:rPr>
        <w:t>cm</w:t>
      </w:r>
      <w:r>
        <w:rPr>
          <w:rFonts w:asciiTheme="majorBidi" w:hAnsiTheme="majorBidi" w:cstheme="majorBidi"/>
          <w:sz w:val="24"/>
          <w:szCs w:val="24"/>
          <w:vertAlign w:val="superscript"/>
          <w:lang w:val="en-US"/>
        </w:rPr>
        <w:t>-2</w:t>
      </w:r>
      <w:proofErr w:type="gramEnd"/>
      <w:r>
        <w:rPr>
          <w:rFonts w:asciiTheme="majorBidi" w:hAnsiTheme="majorBidi" w:cstheme="majorBidi"/>
          <w:sz w:val="24"/>
          <w:szCs w:val="24"/>
          <w:lang w:val="en-US"/>
        </w:rPr>
        <w:t xml:space="preserve"> for the Si/ SP and Si/Al structures respectively.</w:t>
      </w:r>
    </w:p>
    <w:p w:rsidR="00040138" w:rsidRDefault="00040138" w:rsidP="00040138">
      <w:pPr>
        <w:jc w:val="both"/>
        <w:rPr>
          <w:rFonts w:asciiTheme="majorBidi" w:hAnsiTheme="majorBidi" w:cstheme="majorBidi"/>
          <w:sz w:val="24"/>
          <w:szCs w:val="24"/>
          <w:lang w:val="en-US"/>
        </w:rPr>
      </w:pPr>
      <w:r>
        <w:rPr>
          <w:rFonts w:asciiTheme="majorBidi" w:hAnsiTheme="majorBidi" w:cstheme="majorBidi"/>
          <w:b/>
          <w:bCs/>
          <w:sz w:val="24"/>
          <w:szCs w:val="24"/>
          <w:lang w:val="en-US"/>
        </w:rPr>
        <w:t>Keywords:</w:t>
      </w:r>
      <w:r>
        <w:rPr>
          <w:rFonts w:asciiTheme="majorBidi" w:hAnsiTheme="majorBidi" w:cstheme="majorBidi"/>
          <w:sz w:val="24"/>
          <w:szCs w:val="24"/>
          <w:lang w:val="en-US"/>
        </w:rPr>
        <w:t xml:space="preserve"> Thin film silicon solar cell; Rear reflector, Bragg mirror; Reflectivity;</w:t>
      </w:r>
      <w:r>
        <w:rPr>
          <w:rFonts w:asciiTheme="majorBidi" w:hAnsiTheme="majorBidi" w:cstheme="majorBidi"/>
          <w:sz w:val="24"/>
          <w:szCs w:val="24"/>
          <w:rtl/>
          <w:lang w:val="en-US"/>
        </w:rPr>
        <w:t xml:space="preserve"> </w:t>
      </w:r>
      <w:r>
        <w:rPr>
          <w:rFonts w:asciiTheme="majorBidi" w:hAnsiTheme="majorBidi" w:cstheme="majorBidi"/>
          <w:sz w:val="24"/>
          <w:szCs w:val="24"/>
          <w:lang w:val="en-US"/>
        </w:rPr>
        <w:t>Porous silicon; Porosity, Anodization process.</w:t>
      </w:r>
    </w:p>
    <w:p w:rsidR="00040138" w:rsidRDefault="00040138" w:rsidP="00040138">
      <w:pPr>
        <w:jc w:val="both"/>
        <w:rPr>
          <w:rFonts w:asciiTheme="majorBidi" w:hAnsiTheme="majorBidi" w:cstheme="majorBidi"/>
          <w:sz w:val="24"/>
          <w:szCs w:val="24"/>
          <w:lang w:val="en-US"/>
        </w:rPr>
      </w:pPr>
    </w:p>
    <w:p w:rsidR="00040138" w:rsidRDefault="00040138" w:rsidP="00040138">
      <w:pPr>
        <w:rPr>
          <w:rFonts w:asciiTheme="majorBidi" w:hAnsiTheme="majorBidi" w:cstheme="majorBidi"/>
          <w:b/>
          <w:bCs/>
          <w:sz w:val="36"/>
          <w:szCs w:val="36"/>
          <w:u w:val="single"/>
          <w:lang w:val="en-US"/>
        </w:rPr>
      </w:pPr>
    </w:p>
    <w:p w:rsidR="00040138" w:rsidRDefault="00040138" w:rsidP="00040138">
      <w:pPr>
        <w:rPr>
          <w:rFonts w:asciiTheme="majorBidi" w:hAnsiTheme="majorBidi" w:cstheme="majorBidi"/>
          <w:b/>
          <w:bCs/>
          <w:sz w:val="36"/>
          <w:szCs w:val="36"/>
          <w:u w:val="single"/>
        </w:rPr>
      </w:pPr>
      <w:r>
        <w:rPr>
          <w:rFonts w:asciiTheme="majorBidi" w:hAnsiTheme="majorBidi" w:cstheme="majorBidi"/>
          <w:b/>
          <w:bCs/>
          <w:sz w:val="36"/>
          <w:szCs w:val="36"/>
          <w:u w:val="single"/>
        </w:rPr>
        <w:lastRenderedPageBreak/>
        <w:t>Résumé</w:t>
      </w:r>
    </w:p>
    <w:p w:rsidR="00040138" w:rsidRDefault="00040138" w:rsidP="00040138">
      <w:pPr>
        <w:spacing w:before="120" w:after="120"/>
        <w:jc w:val="both"/>
        <w:rPr>
          <w:rFonts w:asciiTheme="majorBidi" w:hAnsiTheme="majorBidi" w:cstheme="majorBidi"/>
          <w:sz w:val="28"/>
          <w:szCs w:val="28"/>
        </w:rPr>
      </w:pPr>
      <w:r>
        <w:rPr>
          <w:rFonts w:asciiTheme="majorBidi" w:hAnsiTheme="majorBidi" w:cstheme="majorBidi"/>
          <w:sz w:val="24"/>
          <w:szCs w:val="24"/>
        </w:rPr>
        <w:t>Ce travail de thèse a pour objectif d’étudier et élaborer les différentes structures multicouches de silicium poreux afin de l’utiliser comme réflecteur arrière (RA) pour les cellules solaires minces en silicium cristallin. Ces différentes structures sont : (i) Le miroir de Bragg (MB), (ii) Le réflecteur de Bragg chirpé (RBC), (iii) Les miroirs de Bragg adjacents chirpés (MBAC), (iv) le réflecteur de Bragg à profil de Fermi (RBF) ainsi (v) la structure multicouches de SP optimisée. Les spectres de réflectivité de ces différentes structures sont optimisés, dans l’intervalle de longueur d’onde : 800 – 1200 nm. L’optimisation est effectuée par rapport aux paramètres : Epaisseur, porosité et nombre de périodes. Les résultats de simulation montrent que le spectre de réflectivité du MB est limité par le rapport entre les indices de réfraction de deux couches empilées. Pour 20 couches de SP empilées, Les différentes structures ayant des épaisseurs variables montrent des spectres de réflectivité plus élargis en comparaison avec celui du MB. Cependant, La meilleure réponse optique est obtenue pour la structure RBF. Ce type de réflecteur pourrait refléter plus de 80% de la lumière sur une gamme spectrale de 598 nm. Une amélioration de 56,18 % de la bande photonique (BP) est obtenue en comparaison avec la structure standard (</w:t>
      </w:r>
      <w:proofErr w:type="gramStart"/>
      <w:r>
        <w:rPr>
          <w:rFonts w:asciiTheme="majorBidi" w:hAnsiTheme="majorBidi" w:cstheme="majorBidi"/>
          <w:sz w:val="24"/>
          <w:szCs w:val="24"/>
        </w:rPr>
        <w:t>MB</w:t>
      </w:r>
      <w:proofErr w:type="gramEnd"/>
      <w:r>
        <w:rPr>
          <w:rFonts w:asciiTheme="majorBidi" w:hAnsiTheme="majorBidi" w:cstheme="majorBidi"/>
          <w:sz w:val="24"/>
          <w:szCs w:val="24"/>
        </w:rPr>
        <w:t>). Ces structures sont ensuite élaborées par la méthode d’anodisation électrochimique des substrats de type P</w:t>
      </w:r>
      <w:r>
        <w:rPr>
          <w:rFonts w:asciiTheme="majorBidi" w:hAnsiTheme="majorBidi" w:cstheme="majorBidi"/>
          <w:sz w:val="24"/>
          <w:szCs w:val="24"/>
          <w:vertAlign w:val="superscript"/>
        </w:rPr>
        <w:t>+</w:t>
      </w:r>
      <w:r>
        <w:rPr>
          <w:rFonts w:asciiTheme="majorBidi" w:hAnsiTheme="majorBidi" w:cstheme="majorBidi"/>
          <w:sz w:val="24"/>
          <w:szCs w:val="24"/>
        </w:rPr>
        <w:t xml:space="preserve"> sous différentes températures : T</w:t>
      </w:r>
      <w:r>
        <w:rPr>
          <w:rFonts w:asciiTheme="majorBidi" w:hAnsiTheme="majorBidi" w:cstheme="majorBidi"/>
          <w:sz w:val="24"/>
          <w:szCs w:val="24"/>
          <w:vertAlign w:val="subscript"/>
        </w:rPr>
        <w:t xml:space="preserve"> </w:t>
      </w:r>
      <w:r>
        <w:rPr>
          <w:rFonts w:asciiTheme="majorBidi" w:hAnsiTheme="majorBidi" w:cstheme="majorBidi"/>
          <w:sz w:val="24"/>
          <w:szCs w:val="24"/>
        </w:rPr>
        <w:t>= 20 C° et T= -20 C°. Les images MEB prises pour le MB et le RBF montrent, la périodicité de deux couches poreuses empilées l’une sur l’autre. En revanche, les spectres de réflectivité mesurés pour les structures préparées à basse température (T = -20°C), sont obtenus dans la gamme spectrale désirée et ils sont en concordance avec les spectres simulés. Cela montre que l’élaboration du SP à basse température améliore la qualité de reproductibilité des couches poreuses. Ce travail de thèse est achevé par le calcul de la réflectivité interne (R</w:t>
      </w:r>
      <w:r>
        <w:rPr>
          <w:rFonts w:asciiTheme="majorBidi" w:hAnsiTheme="majorBidi" w:cstheme="majorBidi"/>
          <w:sz w:val="24"/>
          <w:szCs w:val="24"/>
          <w:vertAlign w:val="subscript"/>
        </w:rPr>
        <w:t>B</w:t>
      </w:r>
      <w:r>
        <w:rPr>
          <w:rFonts w:asciiTheme="majorBidi" w:hAnsiTheme="majorBidi" w:cstheme="majorBidi"/>
          <w:sz w:val="24"/>
          <w:szCs w:val="24"/>
        </w:rPr>
        <w:t>), le facteur d’absorption de lumière (A) et le photocourant</w:t>
      </w:r>
      <w:r>
        <w:rPr>
          <w:rFonts w:asciiTheme="majorBidi" w:hAnsiTheme="majorBidi" w:cstheme="majorBidi"/>
          <w:sz w:val="24"/>
          <w:szCs w:val="24"/>
          <w:rtl/>
        </w:rPr>
        <w:t xml:space="preserve"> </w:t>
      </w:r>
      <w:r>
        <w:rPr>
          <w:rFonts w:asciiTheme="majorBidi" w:hAnsiTheme="majorBidi" w:cstheme="majorBidi"/>
          <w:sz w:val="24"/>
          <w:szCs w:val="24"/>
        </w:rPr>
        <w:t>(J</w:t>
      </w:r>
      <w:r>
        <w:rPr>
          <w:rFonts w:asciiTheme="majorBidi" w:hAnsiTheme="majorBidi" w:cstheme="majorBidi"/>
          <w:sz w:val="24"/>
          <w:szCs w:val="24"/>
          <w:vertAlign w:val="subscript"/>
        </w:rPr>
        <w:t>ph</w:t>
      </w:r>
      <w:r>
        <w:rPr>
          <w:rFonts w:asciiTheme="majorBidi" w:hAnsiTheme="majorBidi" w:cstheme="majorBidi"/>
          <w:sz w:val="24"/>
          <w:szCs w:val="24"/>
        </w:rPr>
        <w:t>) d’une couche réfléchissante de SP (structure Si/ SP) réalisée sur un substrat de type P poli sur les deux faces et la structure en Aluminium plein plaque (Si/Al). Le R</w:t>
      </w:r>
      <w:r>
        <w:rPr>
          <w:rFonts w:asciiTheme="majorBidi" w:hAnsiTheme="majorBidi" w:cstheme="majorBidi"/>
          <w:sz w:val="24"/>
          <w:szCs w:val="24"/>
          <w:vertAlign w:val="subscript"/>
        </w:rPr>
        <w:t>B</w:t>
      </w:r>
      <w:r>
        <w:rPr>
          <w:rFonts w:asciiTheme="majorBidi" w:hAnsiTheme="majorBidi" w:cstheme="majorBidi"/>
          <w:sz w:val="24"/>
          <w:szCs w:val="24"/>
        </w:rPr>
        <w:t xml:space="preserve"> de la structure Si/SP atteint une valeur de l’ordre de 86% dans l’intervalle : 800-1150, l’amélioration est estimée à plus de 17% par rapport à la structure (Si/ Al). Par conséquent, le facteur d’absorption et la densité de photocourant sont améliorés : Le J</w:t>
      </w:r>
      <w:r>
        <w:rPr>
          <w:rFonts w:asciiTheme="majorBidi" w:hAnsiTheme="majorBidi" w:cstheme="majorBidi"/>
          <w:sz w:val="24"/>
          <w:szCs w:val="24"/>
          <w:vertAlign w:val="subscript"/>
        </w:rPr>
        <w:t xml:space="preserve">ph </w:t>
      </w:r>
      <w:r>
        <w:rPr>
          <w:rFonts w:asciiTheme="majorBidi" w:hAnsiTheme="majorBidi" w:cstheme="majorBidi"/>
          <w:sz w:val="24"/>
          <w:szCs w:val="24"/>
        </w:rPr>
        <w:t>calculé</w:t>
      </w:r>
      <w:r>
        <w:rPr>
          <w:rFonts w:asciiTheme="majorBidi" w:hAnsiTheme="majorBidi" w:cstheme="majorBidi"/>
          <w:sz w:val="24"/>
          <w:szCs w:val="24"/>
          <w:vertAlign w:val="subscript"/>
        </w:rPr>
        <w:t xml:space="preserve"> </w:t>
      </w:r>
      <w:r>
        <w:rPr>
          <w:rFonts w:asciiTheme="majorBidi" w:hAnsiTheme="majorBidi" w:cstheme="majorBidi"/>
          <w:sz w:val="24"/>
          <w:szCs w:val="24"/>
        </w:rPr>
        <w:t>est de l’ordre 32 et 30,6 mA. cm</w:t>
      </w:r>
      <w:r>
        <w:rPr>
          <w:rFonts w:asciiTheme="majorBidi" w:hAnsiTheme="majorBidi" w:cstheme="majorBidi"/>
          <w:sz w:val="24"/>
          <w:szCs w:val="24"/>
          <w:vertAlign w:val="superscript"/>
        </w:rPr>
        <w:t xml:space="preserve">-2 </w:t>
      </w:r>
      <w:r>
        <w:rPr>
          <w:rFonts w:asciiTheme="majorBidi" w:hAnsiTheme="majorBidi" w:cstheme="majorBidi"/>
          <w:sz w:val="24"/>
          <w:szCs w:val="24"/>
        </w:rPr>
        <w:t xml:space="preserve">pour les structures Si/ SP et Si/Al respectivement. </w:t>
      </w:r>
    </w:p>
    <w:p w:rsidR="00040138" w:rsidRDefault="00040138" w:rsidP="00040138">
      <w:pPr>
        <w:jc w:val="both"/>
        <w:rPr>
          <w:rFonts w:asciiTheme="majorBidi" w:hAnsiTheme="majorBidi" w:cstheme="majorBidi"/>
          <w:sz w:val="24"/>
          <w:szCs w:val="24"/>
        </w:rPr>
      </w:pPr>
      <w:r>
        <w:rPr>
          <w:rFonts w:asciiTheme="majorBidi" w:hAnsiTheme="majorBidi" w:cstheme="majorBidi"/>
          <w:b/>
          <w:bCs/>
          <w:sz w:val="24"/>
          <w:szCs w:val="24"/>
        </w:rPr>
        <w:t xml:space="preserve">Mots clés : </w:t>
      </w:r>
      <w:r>
        <w:rPr>
          <w:rFonts w:asciiTheme="majorBidi" w:hAnsiTheme="majorBidi" w:cstheme="majorBidi"/>
          <w:sz w:val="24"/>
          <w:szCs w:val="24"/>
        </w:rPr>
        <w:t>Cellule solaire mince en silicium ; Réflecteur arrière, Miroir de Bragg ; Réflectivité, Silicium poreux ; Porosité, Anodisation électrochimique</w:t>
      </w:r>
      <w:r>
        <w:rPr>
          <w:rFonts w:asciiTheme="majorBidi" w:hAnsiTheme="majorBidi" w:cstheme="majorBidi" w:hint="cs"/>
          <w:sz w:val="24"/>
          <w:szCs w:val="24"/>
          <w:rtl/>
        </w:rPr>
        <w:t>.</w:t>
      </w:r>
    </w:p>
    <w:p w:rsidR="00D96ED8" w:rsidRDefault="00D96ED8">
      <w:bookmarkStart w:id="0" w:name="_GoBack"/>
      <w:bookmarkEnd w:id="0"/>
    </w:p>
    <w:sectPr w:rsidR="00D96ED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656A"/>
    <w:rsid w:val="00040138"/>
    <w:rsid w:val="00A2656A"/>
    <w:rsid w:val="00D96ED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4E38804-B592-4EE1-AFF8-FBFD7BCEC0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Normal1"/>
    <w:qFormat/>
    <w:rsid w:val="00040138"/>
    <w:pPr>
      <w:spacing w:after="200" w:line="360"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3975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1210</Words>
  <Characters>6661</Characters>
  <Application>Microsoft Office Word</Application>
  <DocSecurity>0</DocSecurity>
  <Lines>55</Lines>
  <Paragraphs>15</Paragraphs>
  <ScaleCrop>false</ScaleCrop>
  <Company/>
  <LinksUpToDate>false</LinksUpToDate>
  <CharactersWithSpaces>7856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2023-06-14T05:44:00Z</dcterms:created>
  <dcterms:modified xsi:type="dcterms:W3CDTF">2023-06-14T05:45:00Z</dcterms:modified>
</cp:coreProperties>
</file>