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413" w:rsidRDefault="00C57413" w:rsidP="001F7C07">
      <w:pPr>
        <w:spacing w:after="0" w:line="360" w:lineRule="auto"/>
        <w:ind w:left="-567" w:firstLine="567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6F0216">
        <w:rPr>
          <w:rFonts w:asciiTheme="majorBidi" w:hAnsiTheme="majorBidi" w:cstheme="majorBidi"/>
          <w:b/>
          <w:bCs/>
          <w:sz w:val="24"/>
          <w:szCs w:val="24"/>
        </w:rPr>
        <w:t>RESUME</w:t>
      </w:r>
    </w:p>
    <w:p w:rsidR="00C57413" w:rsidRDefault="00C57413" w:rsidP="00C57413">
      <w:pPr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C57413" w:rsidRDefault="00C57413" w:rsidP="001F7C07">
      <w:pPr>
        <w:spacing w:after="0" w:line="360" w:lineRule="auto"/>
        <w:ind w:firstLine="567"/>
        <w:jc w:val="both"/>
        <w:rPr>
          <w:rFonts w:asciiTheme="majorBidi" w:hAnsiTheme="majorBidi" w:cstheme="majorBidi"/>
          <w:sz w:val="24"/>
          <w:szCs w:val="24"/>
        </w:rPr>
      </w:pPr>
      <w:r w:rsidRPr="006F0216">
        <w:rPr>
          <w:rFonts w:asciiTheme="majorBidi" w:hAnsiTheme="majorBidi" w:cstheme="majorBidi"/>
          <w:sz w:val="24"/>
          <w:szCs w:val="24"/>
        </w:rPr>
        <w:t>Ce travail est basé sur la synthèse de nouveaux composés azotés de type 1</w:t>
      </w:r>
      <w:proofErr w:type="gramStart"/>
      <w:r w:rsidRPr="006F0216">
        <w:rPr>
          <w:rFonts w:asciiTheme="majorBidi" w:hAnsiTheme="majorBidi" w:cstheme="majorBidi"/>
          <w:sz w:val="24"/>
          <w:szCs w:val="24"/>
        </w:rPr>
        <w:t>,3,5</w:t>
      </w:r>
      <w:proofErr w:type="gramEnd"/>
      <w:r w:rsidRPr="006F0216">
        <w:rPr>
          <w:rFonts w:asciiTheme="majorBidi" w:hAnsiTheme="majorBidi" w:cstheme="majorBidi"/>
          <w:sz w:val="24"/>
          <w:szCs w:val="24"/>
        </w:rPr>
        <w:t>-triazacyclohexanes substitués de façon symétrique et asymétrique, portant des substituant</w:t>
      </w:r>
      <w:r w:rsidR="00FD622B">
        <w:rPr>
          <w:rFonts w:asciiTheme="majorBidi" w:hAnsiTheme="majorBidi" w:cstheme="majorBidi"/>
          <w:sz w:val="24"/>
          <w:szCs w:val="24"/>
        </w:rPr>
        <w:t>s</w:t>
      </w:r>
      <w:r w:rsidRPr="006F0216">
        <w:rPr>
          <w:rFonts w:asciiTheme="majorBidi" w:hAnsiTheme="majorBidi" w:cstheme="majorBidi"/>
          <w:sz w:val="24"/>
          <w:szCs w:val="24"/>
        </w:rPr>
        <w:t xml:space="preserve"> aliphatique</w:t>
      </w:r>
      <w:r w:rsidR="00FD622B">
        <w:rPr>
          <w:rFonts w:asciiTheme="majorBidi" w:hAnsiTheme="majorBidi" w:cstheme="majorBidi"/>
          <w:sz w:val="24"/>
          <w:szCs w:val="24"/>
        </w:rPr>
        <w:t>s</w:t>
      </w:r>
      <w:r w:rsidRPr="006F0216">
        <w:rPr>
          <w:rFonts w:asciiTheme="majorBidi" w:hAnsiTheme="majorBidi" w:cstheme="majorBidi"/>
          <w:sz w:val="24"/>
          <w:szCs w:val="24"/>
        </w:rPr>
        <w:t xml:space="preserve"> ou aromatiques, par </w:t>
      </w:r>
      <w:r w:rsidR="00FD622B">
        <w:rPr>
          <w:rFonts w:asciiTheme="majorBidi" w:hAnsiTheme="majorBidi" w:cstheme="majorBidi"/>
          <w:sz w:val="24"/>
          <w:szCs w:val="24"/>
        </w:rPr>
        <w:t xml:space="preserve">réaction de </w:t>
      </w:r>
      <w:r w:rsidRPr="006F0216">
        <w:rPr>
          <w:rFonts w:asciiTheme="majorBidi" w:hAnsiTheme="majorBidi" w:cstheme="majorBidi"/>
          <w:sz w:val="24"/>
          <w:szCs w:val="24"/>
        </w:rPr>
        <w:t xml:space="preserve">condensation d’un excès de </w:t>
      </w:r>
      <w:proofErr w:type="spellStart"/>
      <w:r w:rsidRPr="006F0216">
        <w:rPr>
          <w:rFonts w:asciiTheme="majorBidi" w:hAnsiTheme="majorBidi" w:cstheme="majorBidi"/>
          <w:sz w:val="24"/>
          <w:szCs w:val="24"/>
        </w:rPr>
        <w:t>formaline</w:t>
      </w:r>
      <w:proofErr w:type="spellEnd"/>
      <w:r w:rsidRPr="006F0216">
        <w:rPr>
          <w:rFonts w:asciiTheme="majorBidi" w:hAnsiTheme="majorBidi" w:cstheme="majorBidi"/>
          <w:sz w:val="24"/>
          <w:szCs w:val="24"/>
        </w:rPr>
        <w:t xml:space="preserve"> avec les aryles/</w:t>
      </w:r>
      <w:proofErr w:type="spellStart"/>
      <w:r w:rsidRPr="006F0216">
        <w:rPr>
          <w:rFonts w:asciiTheme="majorBidi" w:hAnsiTheme="majorBidi" w:cstheme="majorBidi"/>
          <w:sz w:val="24"/>
          <w:szCs w:val="24"/>
        </w:rPr>
        <w:t>alkylamines</w:t>
      </w:r>
      <w:proofErr w:type="spellEnd"/>
      <w:r w:rsidRPr="006F0216">
        <w:rPr>
          <w:rFonts w:asciiTheme="majorBidi" w:hAnsiTheme="majorBidi" w:cstheme="majorBidi"/>
          <w:sz w:val="24"/>
          <w:szCs w:val="24"/>
        </w:rPr>
        <w:t xml:space="preserve"> correspondantes dans l'éthanol ou dans</w:t>
      </w:r>
      <w:r w:rsidR="00FD622B">
        <w:rPr>
          <w:rFonts w:asciiTheme="majorBidi" w:hAnsiTheme="majorBidi" w:cstheme="majorBidi"/>
          <w:sz w:val="24"/>
          <w:szCs w:val="24"/>
        </w:rPr>
        <w:t xml:space="preserve"> une</w:t>
      </w:r>
      <w:r w:rsidRPr="006F0216">
        <w:rPr>
          <w:rFonts w:asciiTheme="majorBidi" w:hAnsiTheme="majorBidi" w:cstheme="majorBidi"/>
          <w:sz w:val="24"/>
          <w:szCs w:val="24"/>
        </w:rPr>
        <w:t xml:space="preserve"> </w:t>
      </w:r>
      <w:r w:rsidRPr="006F0216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>solution d'hydroxyde de potassium.</w:t>
      </w:r>
      <w:r w:rsidRPr="006F0216">
        <w:rPr>
          <w:rFonts w:asciiTheme="majorBidi" w:hAnsiTheme="majorBidi" w:cstheme="majorBidi"/>
          <w:sz w:val="24"/>
          <w:szCs w:val="24"/>
        </w:rPr>
        <w:t xml:space="preserve"> </w:t>
      </w:r>
    </w:p>
    <w:p w:rsidR="00C57413" w:rsidRPr="00AB7800" w:rsidRDefault="00C57413" w:rsidP="001F7C07">
      <w:pPr>
        <w:spacing w:after="0" w:line="360" w:lineRule="auto"/>
        <w:ind w:firstLine="567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6F0216">
        <w:rPr>
          <w:rFonts w:asciiTheme="majorBidi" w:hAnsiTheme="majorBidi" w:cstheme="majorBidi"/>
          <w:sz w:val="24"/>
          <w:szCs w:val="24"/>
        </w:rPr>
        <w:t>Ces composés sont stables</w:t>
      </w:r>
      <w:r w:rsidR="003B5622">
        <w:rPr>
          <w:rFonts w:asciiTheme="majorBidi" w:hAnsiTheme="majorBidi" w:cstheme="majorBidi"/>
          <w:sz w:val="24"/>
          <w:szCs w:val="24"/>
        </w:rPr>
        <w:t xml:space="preserve"> à température ambiante et leur</w:t>
      </w:r>
      <w:r w:rsidRPr="006F0216">
        <w:rPr>
          <w:rFonts w:asciiTheme="majorBidi" w:hAnsiTheme="majorBidi" w:cstheme="majorBidi"/>
          <w:sz w:val="24"/>
          <w:szCs w:val="24"/>
        </w:rPr>
        <w:t xml:space="preserve"> mécanisme réactionnel de la synthèse est probablement passé par la formation d’un imine, qui se </w:t>
      </w:r>
      <w:proofErr w:type="spellStart"/>
      <w:r w:rsidRPr="006F0216">
        <w:rPr>
          <w:rFonts w:asciiTheme="majorBidi" w:hAnsiTheme="majorBidi" w:cstheme="majorBidi"/>
          <w:sz w:val="24"/>
          <w:szCs w:val="24"/>
        </w:rPr>
        <w:t>trimérise</w:t>
      </w:r>
      <w:proofErr w:type="spellEnd"/>
      <w:r w:rsidRPr="006F0216">
        <w:rPr>
          <w:rFonts w:asciiTheme="majorBidi" w:hAnsiTheme="majorBidi" w:cstheme="majorBidi"/>
          <w:sz w:val="24"/>
          <w:szCs w:val="24"/>
        </w:rPr>
        <w:t xml:space="preserve"> pour donner </w:t>
      </w:r>
      <w:r w:rsidR="003B5622">
        <w:rPr>
          <w:rFonts w:asciiTheme="majorBidi" w:hAnsiTheme="majorBidi" w:cstheme="majorBidi"/>
          <w:sz w:val="24"/>
          <w:szCs w:val="24"/>
        </w:rPr>
        <w:t xml:space="preserve">des </w:t>
      </w:r>
      <w:proofErr w:type="spellStart"/>
      <w:r w:rsidR="003B5622">
        <w:rPr>
          <w:rFonts w:asciiTheme="majorBidi" w:hAnsiTheme="majorBidi" w:cstheme="majorBidi"/>
          <w:sz w:val="24"/>
          <w:szCs w:val="24"/>
        </w:rPr>
        <w:t>triazacyclohexanes</w:t>
      </w:r>
      <w:proofErr w:type="spellEnd"/>
      <w:r w:rsidR="003B5622">
        <w:rPr>
          <w:rFonts w:asciiTheme="majorBidi" w:hAnsiTheme="majorBidi" w:cstheme="majorBidi"/>
          <w:sz w:val="24"/>
          <w:szCs w:val="24"/>
        </w:rPr>
        <w:t xml:space="preserve"> avec de</w:t>
      </w:r>
      <w:r w:rsidRPr="006F0216">
        <w:rPr>
          <w:rFonts w:asciiTheme="majorBidi" w:hAnsiTheme="majorBidi" w:cstheme="majorBidi"/>
          <w:sz w:val="24"/>
          <w:szCs w:val="24"/>
        </w:rPr>
        <w:t xml:space="preserve"> bons rendements, les structures de ces composés ont été identifié</w:t>
      </w:r>
      <w:r w:rsidR="003B5622">
        <w:rPr>
          <w:rFonts w:asciiTheme="majorBidi" w:hAnsiTheme="majorBidi" w:cstheme="majorBidi"/>
          <w:sz w:val="24"/>
          <w:szCs w:val="24"/>
        </w:rPr>
        <w:t>e</w:t>
      </w:r>
      <w:r w:rsidRPr="006F0216">
        <w:rPr>
          <w:rFonts w:asciiTheme="majorBidi" w:hAnsiTheme="majorBidi" w:cstheme="majorBidi"/>
          <w:sz w:val="24"/>
          <w:szCs w:val="24"/>
        </w:rPr>
        <w:t>s par les méthodes usuelles spectroscopiques IR, UV-Visible, RMN (</w:t>
      </w:r>
      <w:r w:rsidRPr="006F0216">
        <w:rPr>
          <w:rFonts w:asciiTheme="majorBidi" w:hAnsiTheme="majorBidi" w:cstheme="majorBidi"/>
          <w:sz w:val="24"/>
          <w:szCs w:val="24"/>
          <w:vertAlign w:val="superscript"/>
        </w:rPr>
        <w:t>1</w:t>
      </w:r>
      <w:r w:rsidRPr="006F0216">
        <w:rPr>
          <w:rFonts w:asciiTheme="majorBidi" w:hAnsiTheme="majorBidi" w:cstheme="majorBidi"/>
          <w:sz w:val="24"/>
          <w:szCs w:val="24"/>
        </w:rPr>
        <w:t xml:space="preserve">H et </w:t>
      </w:r>
      <w:r w:rsidRPr="006F0216">
        <w:rPr>
          <w:rFonts w:asciiTheme="majorBidi" w:hAnsiTheme="majorBidi" w:cstheme="majorBidi"/>
          <w:sz w:val="24"/>
          <w:szCs w:val="24"/>
          <w:vertAlign w:val="superscript"/>
        </w:rPr>
        <w:t>13</w:t>
      </w:r>
      <w:r w:rsidRPr="006F0216">
        <w:rPr>
          <w:rFonts w:asciiTheme="majorBidi" w:hAnsiTheme="majorBidi" w:cstheme="majorBidi"/>
          <w:sz w:val="24"/>
          <w:szCs w:val="24"/>
        </w:rPr>
        <w:t>C) et DRX sur monocristal.</w:t>
      </w:r>
    </w:p>
    <w:p w:rsidR="00C57413" w:rsidRPr="006F0216" w:rsidRDefault="00C57413" w:rsidP="001F7C0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Theme="majorBidi" w:hAnsiTheme="majorBidi" w:cstheme="majorBidi"/>
          <w:sz w:val="24"/>
          <w:szCs w:val="24"/>
        </w:rPr>
      </w:pPr>
      <w:r w:rsidRPr="006F0216">
        <w:rPr>
          <w:rFonts w:asciiTheme="majorBidi" w:hAnsiTheme="majorBidi" w:cstheme="majorBidi"/>
          <w:sz w:val="24"/>
          <w:szCs w:val="24"/>
        </w:rPr>
        <w:t>La</w:t>
      </w:r>
      <w:r w:rsidR="003B5622">
        <w:rPr>
          <w:rFonts w:asciiTheme="majorBidi" w:hAnsiTheme="majorBidi" w:cstheme="majorBidi"/>
          <w:sz w:val="24"/>
          <w:szCs w:val="24"/>
        </w:rPr>
        <w:t xml:space="preserve"> structure cristalline de cycle</w:t>
      </w:r>
      <w:r w:rsidRPr="006F0216">
        <w:rPr>
          <w:rFonts w:asciiTheme="majorBidi" w:hAnsiTheme="majorBidi" w:cstheme="majorBidi"/>
          <w:sz w:val="24"/>
          <w:szCs w:val="24"/>
        </w:rPr>
        <w:t xml:space="preserve"> de </w:t>
      </w:r>
      <w:proofErr w:type="spellStart"/>
      <w:r w:rsidRPr="006F0216">
        <w:rPr>
          <w:rFonts w:asciiTheme="majorBidi" w:hAnsiTheme="majorBidi" w:cstheme="majorBidi"/>
          <w:sz w:val="24"/>
          <w:szCs w:val="24"/>
        </w:rPr>
        <w:t>triazacyclohexane</w:t>
      </w:r>
      <w:proofErr w:type="spellEnd"/>
      <w:r w:rsidRPr="006F0216">
        <w:rPr>
          <w:rFonts w:asciiTheme="majorBidi" w:hAnsiTheme="majorBidi" w:cstheme="majorBidi"/>
          <w:sz w:val="24"/>
          <w:szCs w:val="24"/>
        </w:rPr>
        <w:t xml:space="preserve"> adopte une conformation de chaise avec l’orientation </w:t>
      </w:r>
      <w:r w:rsidR="00FD622B" w:rsidRPr="006F0216">
        <w:rPr>
          <w:rFonts w:asciiTheme="majorBidi" w:hAnsiTheme="majorBidi" w:cstheme="majorBidi"/>
          <w:color w:val="000000"/>
          <w:sz w:val="24"/>
          <w:szCs w:val="24"/>
        </w:rPr>
        <w:t>équatorial</w:t>
      </w:r>
      <w:r w:rsidRPr="006F0216">
        <w:rPr>
          <w:rFonts w:asciiTheme="majorBidi" w:hAnsiTheme="majorBidi" w:cstheme="majorBidi"/>
          <w:color w:val="000000"/>
          <w:sz w:val="24"/>
          <w:szCs w:val="24"/>
        </w:rPr>
        <w:t xml:space="preserve">- </w:t>
      </w:r>
      <w:proofErr w:type="spellStart"/>
      <w:r w:rsidRPr="006F0216">
        <w:rPr>
          <w:rFonts w:asciiTheme="majorBidi" w:hAnsiTheme="majorBidi" w:cstheme="majorBidi"/>
          <w:color w:val="000000"/>
          <w:sz w:val="24"/>
          <w:szCs w:val="24"/>
        </w:rPr>
        <w:t>diaxial</w:t>
      </w:r>
      <w:proofErr w:type="spellEnd"/>
      <w:r w:rsidRPr="006F0216">
        <w:rPr>
          <w:rFonts w:asciiTheme="majorBidi" w:hAnsiTheme="majorBidi" w:cstheme="majorBidi"/>
          <w:color w:val="000000"/>
          <w:sz w:val="24"/>
          <w:szCs w:val="24"/>
        </w:rPr>
        <w:t>.</w:t>
      </w:r>
    </w:p>
    <w:p w:rsidR="00C57413" w:rsidRDefault="00C57413" w:rsidP="001F7C07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6F0216">
        <w:rPr>
          <w:rFonts w:asciiTheme="majorBidi" w:hAnsiTheme="majorBidi" w:cstheme="majorBidi"/>
          <w:sz w:val="24"/>
          <w:szCs w:val="24"/>
        </w:rPr>
        <w:t xml:space="preserve">Une analyse quantitative des interactions intermoléculaires dans les structures cristallines a été réalisée en appliquant la méthode de la surface de </w:t>
      </w:r>
      <w:proofErr w:type="spellStart"/>
      <w:r w:rsidRPr="006F0216">
        <w:rPr>
          <w:rFonts w:asciiTheme="majorBidi" w:hAnsiTheme="majorBidi" w:cstheme="majorBidi"/>
          <w:i/>
          <w:iCs/>
          <w:sz w:val="24"/>
          <w:szCs w:val="24"/>
        </w:rPr>
        <w:t>Hirshfeld</w:t>
      </w:r>
      <w:proofErr w:type="spellEnd"/>
      <w:r w:rsidRPr="006F0216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6F0216">
        <w:rPr>
          <w:rFonts w:asciiTheme="majorBidi" w:hAnsiTheme="majorBidi" w:cstheme="majorBidi"/>
          <w:sz w:val="24"/>
          <w:szCs w:val="24"/>
        </w:rPr>
        <w:t xml:space="preserve">à l’aide du logiciel </w:t>
      </w:r>
      <w:proofErr w:type="spellStart"/>
      <w:r w:rsidRPr="006F0216">
        <w:rPr>
          <w:rFonts w:asciiTheme="majorBidi" w:hAnsiTheme="majorBidi" w:cstheme="majorBidi"/>
          <w:sz w:val="24"/>
          <w:szCs w:val="24"/>
        </w:rPr>
        <w:t>CrystalExplorer</w:t>
      </w:r>
      <w:proofErr w:type="spellEnd"/>
      <w:r w:rsidRPr="006F0216">
        <w:rPr>
          <w:rFonts w:asciiTheme="majorBidi" w:hAnsiTheme="majorBidi" w:cstheme="majorBidi"/>
          <w:sz w:val="24"/>
          <w:szCs w:val="24"/>
        </w:rPr>
        <w:t xml:space="preserve"> 17.5. En vue de reconnaître et/ou de confirmer la nature électronique des transitions observées dans les spectres d’absorpti</w:t>
      </w:r>
      <w:r w:rsidR="00A469AB">
        <w:rPr>
          <w:rFonts w:asciiTheme="majorBidi" w:hAnsiTheme="majorBidi" w:cstheme="majorBidi"/>
          <w:sz w:val="24"/>
          <w:szCs w:val="24"/>
        </w:rPr>
        <w:t>on électronique, on a eu recourt</w:t>
      </w:r>
      <w:r w:rsidRPr="006F0216">
        <w:rPr>
          <w:rFonts w:asciiTheme="majorBidi" w:hAnsiTheme="majorBidi" w:cstheme="majorBidi"/>
          <w:sz w:val="24"/>
          <w:szCs w:val="24"/>
        </w:rPr>
        <w:t xml:space="preserve"> à l’étude du phénomène de </w:t>
      </w:r>
      <w:proofErr w:type="spellStart"/>
      <w:r w:rsidRPr="006F0216">
        <w:rPr>
          <w:rFonts w:asciiTheme="majorBidi" w:hAnsiTheme="majorBidi" w:cstheme="majorBidi"/>
          <w:sz w:val="24"/>
          <w:szCs w:val="24"/>
        </w:rPr>
        <w:t>solvatochromisme</w:t>
      </w:r>
      <w:proofErr w:type="spellEnd"/>
      <w:r w:rsidRPr="006F0216">
        <w:rPr>
          <w:rFonts w:asciiTheme="majorBidi" w:hAnsiTheme="majorBidi" w:cstheme="majorBidi"/>
          <w:sz w:val="24"/>
          <w:szCs w:val="24"/>
        </w:rPr>
        <w:t xml:space="preserve"> suite auquel ; il a été démontré l’influen</w:t>
      </w:r>
      <w:r w:rsidR="00B7504E">
        <w:rPr>
          <w:rFonts w:asciiTheme="majorBidi" w:hAnsiTheme="majorBidi" w:cstheme="majorBidi"/>
          <w:sz w:val="24"/>
          <w:szCs w:val="24"/>
        </w:rPr>
        <w:t>ce de deux solvants de polarité</w:t>
      </w:r>
      <w:r w:rsidRPr="006F0216">
        <w:rPr>
          <w:rFonts w:asciiTheme="majorBidi" w:hAnsiTheme="majorBidi" w:cstheme="majorBidi"/>
          <w:sz w:val="24"/>
          <w:szCs w:val="24"/>
        </w:rPr>
        <w:t xml:space="preserve"> différentes sur les propriétés </w:t>
      </w:r>
      <w:proofErr w:type="spellStart"/>
      <w:r w:rsidRPr="006F0216">
        <w:rPr>
          <w:rFonts w:asciiTheme="majorBidi" w:hAnsiTheme="majorBidi" w:cstheme="majorBidi"/>
          <w:sz w:val="24"/>
          <w:szCs w:val="24"/>
        </w:rPr>
        <w:t>photophysiques</w:t>
      </w:r>
      <w:proofErr w:type="spellEnd"/>
      <w:r w:rsidRPr="006F0216">
        <w:rPr>
          <w:rFonts w:asciiTheme="majorBidi" w:hAnsiTheme="majorBidi" w:cstheme="majorBidi"/>
          <w:sz w:val="24"/>
          <w:szCs w:val="24"/>
        </w:rPr>
        <w:t xml:space="preserve"> de deux  </w:t>
      </w:r>
      <w:proofErr w:type="spellStart"/>
      <w:r w:rsidRPr="006F0216">
        <w:rPr>
          <w:rFonts w:asciiTheme="majorBidi" w:hAnsiTheme="majorBidi" w:cstheme="majorBidi"/>
          <w:sz w:val="24"/>
          <w:szCs w:val="24"/>
        </w:rPr>
        <w:t>triazacyclohexanes</w:t>
      </w:r>
      <w:proofErr w:type="spellEnd"/>
      <w:r w:rsidRPr="006F0216">
        <w:rPr>
          <w:rFonts w:asciiTheme="majorBidi" w:hAnsiTheme="majorBidi" w:cstheme="majorBidi"/>
          <w:sz w:val="24"/>
          <w:szCs w:val="24"/>
        </w:rPr>
        <w:t xml:space="preserve">. </w:t>
      </w:r>
    </w:p>
    <w:p w:rsidR="00C57413" w:rsidRPr="006F0216" w:rsidRDefault="00C57413" w:rsidP="001F7C0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Theme="majorBidi" w:hAnsiTheme="majorBidi" w:cstheme="majorBidi"/>
          <w:sz w:val="24"/>
          <w:szCs w:val="24"/>
        </w:rPr>
      </w:pPr>
      <w:r w:rsidRPr="006F0216">
        <w:rPr>
          <w:rFonts w:asciiTheme="majorBidi" w:hAnsiTheme="majorBidi" w:cstheme="majorBidi"/>
          <w:sz w:val="24"/>
          <w:szCs w:val="24"/>
        </w:rPr>
        <w:t xml:space="preserve">L’évaluation et la comparaison des activités biologiques de quelques composés synthétisés ont été établi par des tests antibactériens </w:t>
      </w:r>
      <w:r w:rsidRPr="006F0216">
        <w:rPr>
          <w:rFonts w:asciiTheme="majorBidi" w:hAnsiTheme="majorBidi" w:cstheme="majorBidi"/>
          <w:i/>
          <w:iCs/>
          <w:sz w:val="24"/>
          <w:szCs w:val="24"/>
        </w:rPr>
        <w:t xml:space="preserve">in vitro </w:t>
      </w:r>
      <w:r w:rsidRPr="006F0216">
        <w:rPr>
          <w:rFonts w:asciiTheme="majorBidi" w:hAnsiTheme="majorBidi" w:cstheme="majorBidi"/>
          <w:sz w:val="24"/>
          <w:szCs w:val="24"/>
        </w:rPr>
        <w:t xml:space="preserve">suivant la méthode de diffusion sur disque contre les souches bactériennes de référence ; </w:t>
      </w:r>
      <w:r w:rsidRPr="006F0216">
        <w:rPr>
          <w:rFonts w:asciiTheme="majorBidi" w:hAnsiTheme="majorBidi" w:cstheme="majorBidi"/>
          <w:i/>
          <w:iCs/>
          <w:sz w:val="24"/>
          <w:szCs w:val="24"/>
        </w:rPr>
        <w:t>Staphylococcus aureus</w:t>
      </w:r>
      <w:r w:rsidRPr="006F0216">
        <w:rPr>
          <w:rFonts w:asciiTheme="majorBidi" w:hAnsiTheme="majorBidi" w:cstheme="majorBidi"/>
          <w:sz w:val="24"/>
          <w:szCs w:val="24"/>
        </w:rPr>
        <w:t xml:space="preserve">, </w:t>
      </w:r>
      <w:r w:rsidRPr="006F0216">
        <w:rPr>
          <w:rFonts w:asciiTheme="majorBidi" w:hAnsiTheme="majorBidi" w:cstheme="majorBidi"/>
          <w:i/>
          <w:iCs/>
          <w:sz w:val="24"/>
          <w:szCs w:val="24"/>
        </w:rPr>
        <w:t xml:space="preserve">Pseudomonas </w:t>
      </w:r>
      <w:proofErr w:type="spellStart"/>
      <w:r w:rsidRPr="006F0216">
        <w:rPr>
          <w:rFonts w:asciiTheme="majorBidi" w:hAnsiTheme="majorBidi" w:cstheme="majorBidi"/>
          <w:i/>
          <w:iCs/>
          <w:sz w:val="24"/>
          <w:szCs w:val="24"/>
        </w:rPr>
        <w:t>aeruginosa</w:t>
      </w:r>
      <w:proofErr w:type="spellEnd"/>
      <w:r w:rsidRPr="006F0216">
        <w:rPr>
          <w:rFonts w:asciiTheme="majorBidi" w:hAnsiTheme="majorBidi" w:cstheme="majorBidi"/>
          <w:i/>
          <w:iCs/>
          <w:sz w:val="24"/>
          <w:szCs w:val="24"/>
        </w:rPr>
        <w:t xml:space="preserve"> et Escherichia coli</w:t>
      </w:r>
      <w:r w:rsidRPr="006F0216">
        <w:rPr>
          <w:rFonts w:asciiTheme="majorBidi" w:hAnsiTheme="majorBidi" w:cstheme="majorBidi"/>
          <w:sz w:val="24"/>
          <w:szCs w:val="24"/>
        </w:rPr>
        <w:t>.</w:t>
      </w:r>
    </w:p>
    <w:p w:rsidR="00601B97" w:rsidRDefault="00C57413" w:rsidP="001F7C07">
      <w:pPr>
        <w:spacing w:line="360" w:lineRule="auto"/>
        <w:ind w:firstLine="567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6F0216">
        <w:rPr>
          <w:rFonts w:asciiTheme="majorBidi" w:eastAsia="HFMPG C+ MTSY" w:hAnsiTheme="majorBidi" w:cstheme="majorBidi"/>
          <w:color w:val="000000"/>
          <w:sz w:val="24"/>
          <w:szCs w:val="24"/>
        </w:rPr>
        <w:t xml:space="preserve">Les données structurales et spectroscopiques dans l'état fondamental ont été calculées à l'aide de la théorie de la fonctionnelle de la densité (DFT) en utilisant la corrélation d'échange B3LYP et l'ensemble de base 6-31 + G (d, p) </w:t>
      </w:r>
      <w:r w:rsidR="00601B97">
        <w:rPr>
          <w:rFonts w:asciiTheme="majorBidi" w:eastAsia="HFMPG C+ MTSY" w:hAnsiTheme="majorBidi" w:cstheme="majorBidi"/>
          <w:color w:val="000000"/>
          <w:sz w:val="24"/>
          <w:szCs w:val="24"/>
        </w:rPr>
        <w:t>o</w:t>
      </w:r>
      <w:r w:rsidR="00763C55">
        <w:rPr>
          <w:rFonts w:asciiTheme="majorBidi" w:eastAsia="HFMPG C+ MTSY" w:hAnsiTheme="majorBidi" w:cstheme="majorBidi"/>
          <w:color w:val="000000"/>
          <w:sz w:val="24"/>
          <w:szCs w:val="24"/>
        </w:rPr>
        <w:t>ù</w:t>
      </w:r>
      <w:r w:rsidR="00601B97">
        <w:rPr>
          <w:rFonts w:asciiTheme="majorBidi" w:eastAsia="HFMPG C+ MTSY" w:hAnsiTheme="majorBidi" w:cstheme="majorBidi"/>
          <w:color w:val="000000"/>
          <w:sz w:val="24"/>
          <w:szCs w:val="24"/>
        </w:rPr>
        <w:t xml:space="preserve"> on a remarqué que les calculs</w:t>
      </w:r>
      <w:r w:rsidR="00601B97" w:rsidRPr="006F0216">
        <w:rPr>
          <w:rFonts w:asciiTheme="majorBidi" w:eastAsia="HFMPG C+ MTSY" w:hAnsiTheme="majorBidi" w:cstheme="majorBidi"/>
          <w:color w:val="000000"/>
          <w:sz w:val="24"/>
          <w:szCs w:val="24"/>
        </w:rPr>
        <w:t xml:space="preserve"> et </w:t>
      </w:r>
      <w:r w:rsidR="00601B97">
        <w:rPr>
          <w:rFonts w:asciiTheme="majorBidi" w:eastAsia="HFMPG C+ MTSY" w:hAnsiTheme="majorBidi" w:cstheme="majorBidi"/>
          <w:color w:val="000000"/>
          <w:sz w:val="24"/>
          <w:szCs w:val="24"/>
        </w:rPr>
        <w:t xml:space="preserve">les </w:t>
      </w:r>
      <w:r w:rsidR="00601B97" w:rsidRPr="006F0216">
        <w:rPr>
          <w:rFonts w:asciiTheme="majorBidi" w:eastAsia="HFMPG C+ MTSY" w:hAnsiTheme="majorBidi" w:cstheme="majorBidi"/>
          <w:color w:val="000000"/>
          <w:sz w:val="24"/>
          <w:szCs w:val="24"/>
        </w:rPr>
        <w:t>résultats</w:t>
      </w:r>
      <w:r w:rsidR="00601B97">
        <w:rPr>
          <w:rFonts w:asciiTheme="majorBidi" w:eastAsia="HFMPG C+ MTSY" w:hAnsiTheme="majorBidi" w:cstheme="majorBidi"/>
          <w:color w:val="000000"/>
          <w:sz w:val="24"/>
          <w:szCs w:val="24"/>
        </w:rPr>
        <w:t xml:space="preserve"> expérimentaux</w:t>
      </w:r>
      <w:r w:rsidR="00601B97" w:rsidRPr="006F0216">
        <w:rPr>
          <w:rFonts w:asciiTheme="majorBidi" w:eastAsia="HFMPG C+ MTSY" w:hAnsiTheme="majorBidi" w:cstheme="majorBidi"/>
          <w:color w:val="000000"/>
          <w:sz w:val="24"/>
          <w:szCs w:val="24"/>
        </w:rPr>
        <w:t xml:space="preserve"> </w:t>
      </w:r>
      <w:r w:rsidR="00601B97">
        <w:rPr>
          <w:rFonts w:asciiTheme="majorBidi" w:eastAsia="HFMPG C+ MTSY" w:hAnsiTheme="majorBidi" w:cstheme="majorBidi"/>
          <w:color w:val="000000"/>
          <w:sz w:val="24"/>
          <w:szCs w:val="24"/>
        </w:rPr>
        <w:t>sont très proches.</w:t>
      </w:r>
      <w:r w:rsidR="00601B97" w:rsidRPr="006F0216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:rsidR="00C57413" w:rsidRPr="006F0216" w:rsidRDefault="00C57413" w:rsidP="001F7C07">
      <w:pPr>
        <w:spacing w:line="360" w:lineRule="auto"/>
        <w:ind w:firstLine="567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6F0216">
        <w:rPr>
          <w:rFonts w:asciiTheme="majorBidi" w:hAnsiTheme="majorBidi" w:cstheme="majorBidi"/>
          <w:b/>
          <w:bCs/>
          <w:sz w:val="24"/>
          <w:szCs w:val="24"/>
        </w:rPr>
        <w:t xml:space="preserve">Mots clés: </w:t>
      </w:r>
    </w:p>
    <w:p w:rsidR="00C57413" w:rsidRPr="006F0216" w:rsidRDefault="00C57413" w:rsidP="001F7C07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6F0216">
        <w:rPr>
          <w:rFonts w:asciiTheme="majorBidi" w:hAnsiTheme="majorBidi" w:cstheme="majorBidi"/>
          <w:sz w:val="24"/>
          <w:szCs w:val="24"/>
        </w:rPr>
        <w:t xml:space="preserve">Synthèse, Amine, </w:t>
      </w:r>
      <w:proofErr w:type="spellStart"/>
      <w:r w:rsidRPr="006F0216">
        <w:rPr>
          <w:rFonts w:asciiTheme="majorBidi" w:hAnsiTheme="majorBidi" w:cstheme="majorBidi"/>
          <w:sz w:val="24"/>
          <w:szCs w:val="24"/>
        </w:rPr>
        <w:t>Formaline</w:t>
      </w:r>
      <w:proofErr w:type="spellEnd"/>
      <w:r w:rsidRPr="006F0216">
        <w:rPr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Pr="006F0216">
        <w:rPr>
          <w:rFonts w:asciiTheme="majorBidi" w:hAnsiTheme="majorBidi" w:cstheme="majorBidi"/>
          <w:sz w:val="24"/>
          <w:szCs w:val="24"/>
        </w:rPr>
        <w:t>Triazacyclohéxanes</w:t>
      </w:r>
      <w:proofErr w:type="spellEnd"/>
      <w:r w:rsidRPr="006F0216">
        <w:rPr>
          <w:rFonts w:asciiTheme="majorBidi" w:hAnsiTheme="majorBidi" w:cstheme="majorBidi"/>
          <w:sz w:val="24"/>
          <w:szCs w:val="24"/>
        </w:rPr>
        <w:t xml:space="preserve">, Spectroscopie, Analyse </w:t>
      </w:r>
      <w:proofErr w:type="spellStart"/>
      <w:r w:rsidRPr="006F0216">
        <w:rPr>
          <w:rFonts w:asciiTheme="majorBidi" w:hAnsiTheme="majorBidi" w:cstheme="majorBidi"/>
          <w:sz w:val="24"/>
          <w:szCs w:val="24"/>
        </w:rPr>
        <w:t>Conformationnelle</w:t>
      </w:r>
      <w:proofErr w:type="spellEnd"/>
      <w:r w:rsidRPr="006F0216">
        <w:rPr>
          <w:rFonts w:asciiTheme="majorBidi" w:hAnsiTheme="majorBidi" w:cstheme="majorBidi"/>
          <w:sz w:val="24"/>
          <w:szCs w:val="24"/>
        </w:rPr>
        <w:t xml:space="preserve">, Surface de </w:t>
      </w:r>
      <w:proofErr w:type="spellStart"/>
      <w:r w:rsidRPr="006F0216">
        <w:rPr>
          <w:rFonts w:asciiTheme="majorBidi" w:hAnsiTheme="majorBidi" w:cstheme="majorBidi"/>
          <w:i/>
          <w:iCs/>
          <w:sz w:val="24"/>
          <w:szCs w:val="24"/>
        </w:rPr>
        <w:t>Hirshfeld</w:t>
      </w:r>
      <w:proofErr w:type="spellEnd"/>
      <w:r w:rsidRPr="006F0216"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r w:rsidRPr="00FD622B">
        <w:rPr>
          <w:rFonts w:asciiTheme="majorBidi" w:hAnsiTheme="majorBidi" w:cstheme="majorBidi"/>
          <w:sz w:val="24"/>
          <w:szCs w:val="24"/>
        </w:rPr>
        <w:t>DFT,</w:t>
      </w:r>
      <w:r w:rsidRPr="006F0216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6F0216">
        <w:rPr>
          <w:rFonts w:asciiTheme="majorBidi" w:hAnsiTheme="majorBidi" w:cstheme="majorBidi"/>
          <w:sz w:val="24"/>
          <w:szCs w:val="24"/>
        </w:rPr>
        <w:t>Activité Antimicrobienne</w:t>
      </w:r>
      <w:r>
        <w:rPr>
          <w:rFonts w:asciiTheme="majorBidi" w:hAnsiTheme="majorBidi" w:cstheme="majorBidi"/>
          <w:sz w:val="24"/>
          <w:szCs w:val="24"/>
        </w:rPr>
        <w:t>.</w:t>
      </w:r>
    </w:p>
    <w:sectPr w:rsidR="00C57413" w:rsidRPr="006F0216" w:rsidSect="008B184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418" w:header="709" w:footer="709" w:gutter="567"/>
      <w:pgNumType w:start="15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7EDC" w:rsidRDefault="00B57EDC" w:rsidP="00C57413">
      <w:pPr>
        <w:spacing w:after="0" w:line="240" w:lineRule="auto"/>
      </w:pPr>
      <w:r>
        <w:separator/>
      </w:r>
    </w:p>
  </w:endnote>
  <w:endnote w:type="continuationSeparator" w:id="0">
    <w:p w:rsidR="00B57EDC" w:rsidRDefault="00B57EDC" w:rsidP="00C574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HFMPG C+ MTSY">
    <w:altName w:val="Arial Unicode MS"/>
    <w:panose1 w:val="00000000000000000000"/>
    <w:charset w:val="81"/>
    <w:family w:val="swiss"/>
    <w:notTrueType/>
    <w:pitch w:val="default"/>
    <w:sig w:usb0="00000000" w:usb1="09060000" w:usb2="00000010" w:usb3="00000000" w:csb0="00080000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5723" w:rsidRDefault="00E55723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7413" w:rsidRPr="00C57413" w:rsidRDefault="008B1849" w:rsidP="00C57413">
    <w:pPr>
      <w:pStyle w:val="Pieddepage"/>
      <w:jc w:val="right"/>
      <w:rPr>
        <w:rFonts w:ascii="Aharoni" w:hAnsi="Aharoni" w:cs="Aharoni"/>
        <w:color w:val="0000FF"/>
        <w:sz w:val="28"/>
        <w:szCs w:val="28"/>
      </w:rPr>
    </w:pPr>
    <w:r>
      <w:rPr>
        <w:rFonts w:ascii="Aharoni" w:hAnsi="Aharoni" w:cs="Aharoni"/>
        <w:color w:val="0000FF"/>
        <w:sz w:val="28"/>
        <w:szCs w:val="28"/>
      </w:rPr>
      <w:t>158</w:t>
    </w:r>
    <w:bookmarkStart w:id="0" w:name="_GoBack"/>
    <w:bookmarkEnd w:id="0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5723" w:rsidRDefault="00E55723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7EDC" w:rsidRDefault="00B57EDC" w:rsidP="00C57413">
      <w:pPr>
        <w:spacing w:after="0" w:line="240" w:lineRule="auto"/>
      </w:pPr>
      <w:r>
        <w:separator/>
      </w:r>
    </w:p>
  </w:footnote>
  <w:footnote w:type="continuationSeparator" w:id="0">
    <w:p w:rsidR="00B57EDC" w:rsidRDefault="00B57EDC" w:rsidP="00C574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5723" w:rsidRDefault="00E55723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7413" w:rsidRPr="00C57413" w:rsidRDefault="00C57413" w:rsidP="00C57413">
    <w:pPr>
      <w:spacing w:after="0" w:line="360" w:lineRule="auto"/>
      <w:ind w:firstLine="567"/>
      <w:jc w:val="right"/>
      <w:rPr>
        <w:rFonts w:ascii="Aharoni" w:hAnsi="Aharoni" w:cs="Aharoni"/>
        <w:b/>
        <w:bCs/>
        <w:color w:val="0000FF"/>
        <w:sz w:val="28"/>
        <w:szCs w:val="28"/>
      </w:rPr>
    </w:pPr>
    <w:r w:rsidRPr="00C57413">
      <w:rPr>
        <w:rFonts w:ascii="Aharoni" w:hAnsi="Aharoni" w:cs="Aharoni"/>
        <w:b/>
        <w:bCs/>
        <w:color w:val="0000FF"/>
        <w:sz w:val="28"/>
        <w:szCs w:val="28"/>
      </w:rPr>
      <w:t>RESUME</w:t>
    </w:r>
  </w:p>
  <w:p w:rsidR="00C57413" w:rsidRDefault="00C57413">
    <w:pPr>
      <w:pStyle w:val="En-tt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5723" w:rsidRDefault="00E55723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D9B"/>
    <w:rsid w:val="001008DC"/>
    <w:rsid w:val="00106A9A"/>
    <w:rsid w:val="001076AF"/>
    <w:rsid w:val="00155F54"/>
    <w:rsid w:val="00162411"/>
    <w:rsid w:val="001F7C07"/>
    <w:rsid w:val="00274552"/>
    <w:rsid w:val="002764B6"/>
    <w:rsid w:val="003B5622"/>
    <w:rsid w:val="003D7C63"/>
    <w:rsid w:val="00544080"/>
    <w:rsid w:val="00571FF8"/>
    <w:rsid w:val="005C15D2"/>
    <w:rsid w:val="00601B97"/>
    <w:rsid w:val="0068134A"/>
    <w:rsid w:val="006A1C09"/>
    <w:rsid w:val="006C31DC"/>
    <w:rsid w:val="006E07A8"/>
    <w:rsid w:val="00702B11"/>
    <w:rsid w:val="00716B2F"/>
    <w:rsid w:val="00763C55"/>
    <w:rsid w:val="007A6F63"/>
    <w:rsid w:val="00861DF6"/>
    <w:rsid w:val="00872FE1"/>
    <w:rsid w:val="008B1849"/>
    <w:rsid w:val="008D5D9B"/>
    <w:rsid w:val="008E7E3E"/>
    <w:rsid w:val="009076D9"/>
    <w:rsid w:val="00914009"/>
    <w:rsid w:val="00933FFC"/>
    <w:rsid w:val="00941651"/>
    <w:rsid w:val="009642D0"/>
    <w:rsid w:val="00A057AC"/>
    <w:rsid w:val="00A469AB"/>
    <w:rsid w:val="00AA6C78"/>
    <w:rsid w:val="00AE0896"/>
    <w:rsid w:val="00B5249F"/>
    <w:rsid w:val="00B57EDC"/>
    <w:rsid w:val="00B7504E"/>
    <w:rsid w:val="00C41D2C"/>
    <w:rsid w:val="00C570C2"/>
    <w:rsid w:val="00C57413"/>
    <w:rsid w:val="00D17E5E"/>
    <w:rsid w:val="00E04327"/>
    <w:rsid w:val="00E55723"/>
    <w:rsid w:val="00EA29C9"/>
    <w:rsid w:val="00F30640"/>
    <w:rsid w:val="00FD622B"/>
    <w:rsid w:val="00FE5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741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5249F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C574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57413"/>
  </w:style>
  <w:style w:type="paragraph" w:styleId="Pieddepage">
    <w:name w:val="footer"/>
    <w:basedOn w:val="Normal"/>
    <w:link w:val="PieddepageCar"/>
    <w:uiPriority w:val="99"/>
    <w:unhideWhenUsed/>
    <w:rsid w:val="00C574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574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741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5249F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C574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57413"/>
  </w:style>
  <w:style w:type="paragraph" w:styleId="Pieddepage">
    <w:name w:val="footer"/>
    <w:basedOn w:val="Normal"/>
    <w:link w:val="PieddepageCar"/>
    <w:uiPriority w:val="99"/>
    <w:unhideWhenUsed/>
    <w:rsid w:val="00C574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574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336</Words>
  <Characters>1850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ZAKARYA</dc:creator>
  <cp:lastModifiedBy>ZAKARYA</cp:lastModifiedBy>
  <cp:revision>30</cp:revision>
  <cp:lastPrinted>2022-11-16T17:02:00Z</cp:lastPrinted>
  <dcterms:created xsi:type="dcterms:W3CDTF">2022-05-19T08:36:00Z</dcterms:created>
  <dcterms:modified xsi:type="dcterms:W3CDTF">2022-11-16T17:02:00Z</dcterms:modified>
</cp:coreProperties>
</file>