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417F" w:rsidRPr="00BA1A53" w:rsidRDefault="0092417F" w:rsidP="0092417F">
      <w:pPr>
        <w:pStyle w:val="Heading1"/>
        <w:rPr>
          <w:rFonts w:asciiTheme="majorBidi" w:hAnsiTheme="majorBidi"/>
          <w:b/>
          <w:bCs/>
          <w:color w:val="auto"/>
          <w:sz w:val="24"/>
          <w:szCs w:val="24"/>
          <w:lang w:val="en-US"/>
        </w:rPr>
      </w:pPr>
      <w:bookmarkStart w:id="0" w:name="_Toc68980774"/>
      <w:r w:rsidRPr="00BA1A53">
        <w:rPr>
          <w:rFonts w:asciiTheme="majorBidi" w:hAnsiTheme="majorBidi"/>
          <w:b/>
          <w:bCs/>
          <w:color w:val="auto"/>
          <w:sz w:val="24"/>
          <w:szCs w:val="24"/>
          <w:lang w:val="en-US"/>
        </w:rPr>
        <w:t>Abstract</w:t>
      </w:r>
      <w:bookmarkEnd w:id="0"/>
      <w:r w:rsidRPr="00BA1A53">
        <w:rPr>
          <w:rFonts w:asciiTheme="majorBidi" w:hAnsiTheme="majorBidi"/>
          <w:b/>
          <w:bCs/>
          <w:color w:val="auto"/>
          <w:sz w:val="24"/>
          <w:szCs w:val="24"/>
          <w:lang w:val="en-US"/>
        </w:rPr>
        <w:t xml:space="preserve"> </w:t>
      </w:r>
    </w:p>
    <w:p w:rsidR="0092417F" w:rsidRDefault="0092417F" w:rsidP="0092417F">
      <w:pPr>
        <w:spacing w:after="0" w:line="360" w:lineRule="auto"/>
        <w:ind w:firstLine="708"/>
        <w:jc w:val="both"/>
        <w:rPr>
          <w:rFonts w:ascii="Times New Roman" w:hAnsi="Times New Roman" w:cs="Times New Roman"/>
          <w:sz w:val="24"/>
          <w:szCs w:val="24"/>
          <w:lang w:val="en-US" w:bidi="ar-DZ"/>
        </w:rPr>
      </w:pPr>
    </w:p>
    <w:p w:rsidR="0092417F" w:rsidRPr="00D11B0B" w:rsidRDefault="0092417F" w:rsidP="0092417F">
      <w:pPr>
        <w:spacing w:after="0" w:line="360" w:lineRule="auto"/>
        <w:ind w:firstLine="708"/>
        <w:jc w:val="both"/>
        <w:rPr>
          <w:rFonts w:ascii="Times New Roman" w:hAnsi="Times New Roman" w:cs="Times New Roman"/>
          <w:sz w:val="24"/>
          <w:szCs w:val="24"/>
          <w:lang w:val="en-US" w:bidi="ar-DZ"/>
        </w:rPr>
      </w:pPr>
      <w:r w:rsidRPr="00D11B0B">
        <w:rPr>
          <w:rFonts w:ascii="Times New Roman" w:hAnsi="Times New Roman" w:cs="Times New Roman"/>
          <w:sz w:val="24"/>
          <w:szCs w:val="24"/>
          <w:lang w:val="en-US" w:bidi="ar-DZ"/>
        </w:rPr>
        <w:t xml:space="preserve">Corrosion </w:t>
      </w:r>
      <w:r w:rsidRPr="00732A79">
        <w:rPr>
          <w:rFonts w:ascii="Times New Roman" w:hAnsi="Times New Roman" w:cs="Times New Roman"/>
          <w:sz w:val="24"/>
          <w:szCs w:val="24"/>
          <w:lang w:val="en-US" w:bidi="ar-DZ"/>
        </w:rPr>
        <w:t>protection of carbon steel is an important challenge in the industry field. The search for an effective protection approach is an issue of considerable concern and still a topic of ongoing research. In the present work, four hydrazone derivatives, namely (</w:t>
      </w:r>
      <w:r w:rsidRPr="00732A79">
        <w:rPr>
          <w:rFonts w:ascii="Times New Roman" w:hAnsi="Times New Roman" w:cs="Times New Roman"/>
          <w:i/>
          <w:iCs/>
          <w:sz w:val="24"/>
          <w:szCs w:val="24"/>
          <w:lang w:val="en-US" w:bidi="ar-DZ"/>
        </w:rPr>
        <w:t>E</w:t>
      </w:r>
      <w:r w:rsidRPr="00732A79">
        <w:rPr>
          <w:rFonts w:ascii="Times New Roman" w:hAnsi="Times New Roman" w:cs="Times New Roman"/>
          <w:sz w:val="24"/>
          <w:szCs w:val="24"/>
          <w:lang w:val="en-US" w:bidi="ar-DZ"/>
        </w:rPr>
        <w:t xml:space="preserve">) -1- (2,4-dinitrophenyl) -2- (2,4-dihydroxy </w:t>
      </w:r>
      <w:proofErr w:type="spellStart"/>
      <w:r w:rsidRPr="00732A79">
        <w:rPr>
          <w:rFonts w:ascii="Times New Roman" w:hAnsi="Times New Roman" w:cs="Times New Roman"/>
          <w:sz w:val="24"/>
          <w:szCs w:val="24"/>
          <w:lang w:val="en-US" w:bidi="ar-DZ"/>
        </w:rPr>
        <w:t>benzylidene</w:t>
      </w:r>
      <w:proofErr w:type="spellEnd"/>
      <w:r w:rsidRPr="00732A79">
        <w:rPr>
          <w:rFonts w:ascii="Times New Roman" w:hAnsi="Times New Roman" w:cs="Times New Roman"/>
          <w:sz w:val="24"/>
          <w:szCs w:val="24"/>
          <w:lang w:val="en-US" w:bidi="ar-DZ"/>
        </w:rPr>
        <w:t>) hydrazine (HYD-OH), (</w:t>
      </w:r>
      <w:r w:rsidRPr="00732A79">
        <w:rPr>
          <w:rFonts w:ascii="Times New Roman" w:hAnsi="Times New Roman" w:cs="Times New Roman"/>
          <w:i/>
          <w:iCs/>
          <w:sz w:val="24"/>
          <w:szCs w:val="24"/>
          <w:lang w:val="en-US" w:bidi="ar-DZ"/>
        </w:rPr>
        <w:t>E</w:t>
      </w:r>
      <w:r w:rsidRPr="00732A79">
        <w:rPr>
          <w:rFonts w:ascii="Times New Roman" w:hAnsi="Times New Roman" w:cs="Times New Roman"/>
          <w:sz w:val="24"/>
          <w:szCs w:val="24"/>
          <w:lang w:val="en-US" w:bidi="ar-DZ"/>
        </w:rPr>
        <w:t xml:space="preserve">) -1- (2,4-dinitrophenyl) -2- (4-isopropyl </w:t>
      </w:r>
      <w:proofErr w:type="spellStart"/>
      <w:r w:rsidRPr="00732A79">
        <w:rPr>
          <w:rFonts w:ascii="Times New Roman" w:hAnsi="Times New Roman" w:cs="Times New Roman"/>
          <w:sz w:val="24"/>
          <w:szCs w:val="24"/>
          <w:lang w:val="en-US" w:bidi="ar-DZ"/>
        </w:rPr>
        <w:t>benzylidene</w:t>
      </w:r>
      <w:proofErr w:type="spellEnd"/>
      <w:r w:rsidRPr="00732A79">
        <w:rPr>
          <w:rFonts w:ascii="Times New Roman" w:hAnsi="Times New Roman" w:cs="Times New Roman"/>
          <w:sz w:val="24"/>
          <w:szCs w:val="24"/>
          <w:lang w:val="en-US" w:bidi="ar-DZ"/>
        </w:rPr>
        <w:t>) hydrazine (HYD-</w:t>
      </w:r>
      <w:proofErr w:type="spellStart"/>
      <w:r w:rsidRPr="00732A79">
        <w:rPr>
          <w:rFonts w:ascii="Times New Roman" w:hAnsi="Times New Roman" w:cs="Times New Roman"/>
          <w:sz w:val="24"/>
          <w:szCs w:val="24"/>
          <w:lang w:val="en-US" w:bidi="ar-DZ"/>
        </w:rPr>
        <w:t>iso</w:t>
      </w:r>
      <w:proofErr w:type="spellEnd"/>
      <w:r w:rsidRPr="00732A79">
        <w:rPr>
          <w:rFonts w:ascii="Times New Roman" w:hAnsi="Times New Roman" w:cs="Times New Roman"/>
          <w:sz w:val="24"/>
          <w:szCs w:val="24"/>
          <w:lang w:val="en-US" w:bidi="ar-DZ"/>
        </w:rPr>
        <w:t>), (</w:t>
      </w:r>
      <w:r w:rsidRPr="00732A79">
        <w:rPr>
          <w:rFonts w:ascii="Times New Roman" w:hAnsi="Times New Roman" w:cs="Times New Roman"/>
          <w:i/>
          <w:iCs/>
          <w:sz w:val="24"/>
          <w:szCs w:val="24"/>
          <w:lang w:val="en-US" w:bidi="ar-DZ"/>
        </w:rPr>
        <w:t>E</w:t>
      </w:r>
      <w:r w:rsidRPr="00732A79">
        <w:rPr>
          <w:rFonts w:ascii="Times New Roman" w:hAnsi="Times New Roman" w:cs="Times New Roman"/>
          <w:sz w:val="24"/>
          <w:szCs w:val="24"/>
          <w:lang w:val="en-US" w:bidi="ar-DZ"/>
        </w:rPr>
        <w:t xml:space="preserve">) -1- (2,4-dinitrophenyl) -2- (4-methyl </w:t>
      </w:r>
      <w:proofErr w:type="spellStart"/>
      <w:r w:rsidRPr="00732A79">
        <w:rPr>
          <w:rFonts w:ascii="Times New Roman" w:hAnsi="Times New Roman" w:cs="Times New Roman"/>
          <w:sz w:val="24"/>
          <w:szCs w:val="24"/>
          <w:lang w:val="en-US" w:bidi="ar-DZ"/>
        </w:rPr>
        <w:t>benzylidene</w:t>
      </w:r>
      <w:proofErr w:type="spellEnd"/>
      <w:r w:rsidRPr="00732A79">
        <w:rPr>
          <w:rFonts w:ascii="Times New Roman" w:hAnsi="Times New Roman" w:cs="Times New Roman"/>
          <w:sz w:val="24"/>
          <w:szCs w:val="24"/>
          <w:lang w:val="en-US" w:bidi="ar-DZ"/>
        </w:rPr>
        <w:t>) hydrazine (HYD-Me), and (</w:t>
      </w:r>
      <w:r w:rsidRPr="00732A79">
        <w:rPr>
          <w:rFonts w:ascii="Times New Roman" w:hAnsi="Times New Roman" w:cs="Times New Roman"/>
          <w:i/>
          <w:iCs/>
          <w:sz w:val="24"/>
          <w:szCs w:val="24"/>
          <w:lang w:val="en-US" w:bidi="ar-DZ"/>
        </w:rPr>
        <w:t>E</w:t>
      </w:r>
      <w:r w:rsidRPr="00732A79">
        <w:rPr>
          <w:rFonts w:ascii="Times New Roman" w:hAnsi="Times New Roman" w:cs="Times New Roman"/>
          <w:sz w:val="24"/>
          <w:szCs w:val="24"/>
          <w:lang w:val="en-US" w:bidi="ar-DZ"/>
        </w:rPr>
        <w:t xml:space="preserve">) -1- (2,4-dinitrophenyl) -2- (4-chloro </w:t>
      </w:r>
      <w:proofErr w:type="spellStart"/>
      <w:r w:rsidRPr="00732A79">
        <w:rPr>
          <w:rFonts w:ascii="Times New Roman" w:hAnsi="Times New Roman" w:cs="Times New Roman"/>
          <w:sz w:val="24"/>
          <w:szCs w:val="24"/>
          <w:lang w:val="en-US" w:bidi="ar-DZ"/>
        </w:rPr>
        <w:t>benzylidene</w:t>
      </w:r>
      <w:proofErr w:type="spellEnd"/>
      <w:r w:rsidRPr="00732A79">
        <w:rPr>
          <w:rFonts w:ascii="Times New Roman" w:hAnsi="Times New Roman" w:cs="Times New Roman"/>
          <w:sz w:val="24"/>
          <w:szCs w:val="24"/>
          <w:lang w:val="en-US" w:bidi="ar-DZ"/>
        </w:rPr>
        <w:t xml:space="preserve">) hydrazine (HYD-Cl) were used in 1.0 M HCl solution for API grade </w:t>
      </w:r>
      <w:r w:rsidRPr="00D11B0B">
        <w:rPr>
          <w:rFonts w:ascii="Times New Roman" w:hAnsi="Times New Roman" w:cs="Times New Roman"/>
          <w:sz w:val="24"/>
          <w:szCs w:val="24"/>
          <w:lang w:val="en-US" w:bidi="ar-DZ"/>
        </w:rPr>
        <w:t xml:space="preserve">carbon steel </w:t>
      </w:r>
      <w:bookmarkStart w:id="1" w:name="_GoBack"/>
      <w:bookmarkEnd w:id="1"/>
      <w:r w:rsidRPr="00D11B0B">
        <w:rPr>
          <w:rFonts w:ascii="Times New Roman" w:hAnsi="Times New Roman" w:cs="Times New Roman"/>
          <w:sz w:val="24"/>
          <w:szCs w:val="24"/>
          <w:lang w:val="en-US" w:bidi="ar-DZ"/>
        </w:rPr>
        <w:t xml:space="preserve">corrosion mitigation. Their corrosion inhibition performance was evaluated by electrochemical tests while steel surface was analyzed by X-ray photoelectron spectroscopy (XPS), contact angle and scanning electron microscope (SEM). Electrochemical tests showed about 98%, </w:t>
      </w:r>
      <w:r>
        <w:rPr>
          <w:rFonts w:ascii="Times New Roman" w:hAnsi="Times New Roman" w:cs="Times New Roman"/>
          <w:sz w:val="24"/>
          <w:szCs w:val="24"/>
          <w:lang w:val="en-US" w:bidi="ar-DZ"/>
        </w:rPr>
        <w:t xml:space="preserve">96%, </w:t>
      </w:r>
      <w:r w:rsidRPr="00D11B0B">
        <w:rPr>
          <w:rFonts w:ascii="Times New Roman" w:hAnsi="Times New Roman" w:cs="Times New Roman"/>
          <w:sz w:val="24"/>
          <w:szCs w:val="24"/>
          <w:lang w:val="en-US" w:bidi="ar-DZ"/>
        </w:rPr>
        <w:t>94% and 91% efficiencies for carbon steel exposed to 1.0 M HCl solution containing 5×10</w:t>
      </w:r>
      <w:r w:rsidRPr="00D11B0B">
        <w:rPr>
          <w:rFonts w:ascii="Times New Roman" w:hAnsi="Times New Roman" w:cs="Times New Roman"/>
          <w:sz w:val="24"/>
          <w:szCs w:val="24"/>
          <w:vertAlign w:val="superscript"/>
          <w:lang w:val="en-US" w:bidi="ar-DZ"/>
        </w:rPr>
        <w:t>-3</w:t>
      </w:r>
      <w:r w:rsidRPr="00D11B0B">
        <w:rPr>
          <w:rFonts w:ascii="Times New Roman" w:hAnsi="Times New Roman" w:cs="Times New Roman"/>
          <w:sz w:val="24"/>
          <w:szCs w:val="24"/>
          <w:lang w:val="en-US" w:bidi="ar-DZ"/>
        </w:rPr>
        <w:t xml:space="preserve"> </w:t>
      </w:r>
      <w:proofErr w:type="spellStart"/>
      <w:r w:rsidRPr="00D11B0B">
        <w:rPr>
          <w:rFonts w:ascii="Times New Roman" w:hAnsi="Times New Roman" w:cs="Times New Roman"/>
          <w:sz w:val="24"/>
          <w:szCs w:val="24"/>
          <w:lang w:val="en-US" w:bidi="ar-DZ"/>
        </w:rPr>
        <w:t>mol</w:t>
      </w:r>
      <w:proofErr w:type="spellEnd"/>
      <w:r w:rsidRPr="00D11B0B">
        <w:rPr>
          <w:rFonts w:ascii="Times New Roman" w:hAnsi="Times New Roman" w:cs="Times New Roman"/>
          <w:sz w:val="24"/>
          <w:szCs w:val="24"/>
          <w:lang w:val="en-US" w:bidi="ar-DZ"/>
        </w:rPr>
        <w:t xml:space="preserve">/L of HYD-OH, </w:t>
      </w:r>
      <w:r>
        <w:rPr>
          <w:rFonts w:ascii="Times New Roman" w:hAnsi="Times New Roman" w:cs="Times New Roman"/>
          <w:sz w:val="24"/>
          <w:szCs w:val="24"/>
          <w:lang w:val="en-US" w:bidi="ar-DZ"/>
        </w:rPr>
        <w:t>HYD-</w:t>
      </w:r>
      <w:proofErr w:type="spellStart"/>
      <w:r>
        <w:rPr>
          <w:rFonts w:ascii="Times New Roman" w:hAnsi="Times New Roman" w:cs="Times New Roman"/>
          <w:sz w:val="24"/>
          <w:szCs w:val="24"/>
          <w:lang w:val="en-US" w:bidi="ar-DZ"/>
        </w:rPr>
        <w:t>iso</w:t>
      </w:r>
      <w:proofErr w:type="spellEnd"/>
      <w:r>
        <w:rPr>
          <w:rFonts w:ascii="Times New Roman" w:hAnsi="Times New Roman" w:cs="Times New Roman"/>
          <w:sz w:val="24"/>
          <w:szCs w:val="24"/>
          <w:lang w:val="en-US" w:bidi="ar-DZ"/>
        </w:rPr>
        <w:t xml:space="preserve">, </w:t>
      </w:r>
      <w:r w:rsidRPr="00D11B0B">
        <w:rPr>
          <w:rFonts w:ascii="Times New Roman" w:hAnsi="Times New Roman" w:cs="Times New Roman"/>
          <w:sz w:val="24"/>
          <w:szCs w:val="24"/>
          <w:lang w:val="en-US" w:bidi="ar-DZ"/>
        </w:rPr>
        <w:t>HYD-Me, and HYD-Cl, respectively. All compounds were classified as mixed type inhibitors, inhibiting both cathodic and anodic reactions. XPS and isotherm model results revealed that tested compounds adsorbed on steel surface through a combined physical and chemical mechanism following Langmuir model. DFT and MD simulations were used to investigate</w:t>
      </w:r>
      <w:r w:rsidRPr="00D11B0B">
        <w:rPr>
          <w:rFonts w:ascii="Arial" w:hAnsi="Arial" w:cs="Arial"/>
          <w:sz w:val="24"/>
          <w:szCs w:val="24"/>
          <w:lang w:val="en-US"/>
        </w:rPr>
        <w:t xml:space="preserve"> </w:t>
      </w:r>
      <w:r w:rsidRPr="00D11B0B">
        <w:rPr>
          <w:rFonts w:ascii="Times New Roman" w:hAnsi="Times New Roman" w:cs="Times New Roman"/>
          <w:sz w:val="24"/>
          <w:szCs w:val="24"/>
          <w:lang w:val="en-US" w:bidi="ar-DZ"/>
        </w:rPr>
        <w:t>the most reactive sites of the hydrazone molecule and its a</w:t>
      </w:r>
      <w:r>
        <w:rPr>
          <w:rFonts w:ascii="Times New Roman" w:hAnsi="Times New Roman" w:cs="Times New Roman"/>
          <w:sz w:val="24"/>
          <w:szCs w:val="24"/>
          <w:lang w:val="en-US" w:bidi="ar-DZ"/>
        </w:rPr>
        <w:t>d</w:t>
      </w:r>
      <w:r w:rsidRPr="00D11B0B">
        <w:rPr>
          <w:rFonts w:ascii="Times New Roman" w:hAnsi="Times New Roman" w:cs="Times New Roman"/>
          <w:sz w:val="24"/>
          <w:szCs w:val="24"/>
          <w:lang w:val="en-US" w:bidi="ar-DZ"/>
        </w:rPr>
        <w:t>sorption mechanism, respectively.</w:t>
      </w:r>
      <w:r>
        <w:rPr>
          <w:rFonts w:ascii="Times New Roman" w:hAnsi="Times New Roman" w:cs="Times New Roman"/>
          <w:sz w:val="24"/>
          <w:szCs w:val="24"/>
          <w:lang w:val="en-US" w:bidi="ar-DZ"/>
        </w:rPr>
        <w:t xml:space="preserve"> </w:t>
      </w:r>
    </w:p>
    <w:p w:rsidR="0092417F" w:rsidRPr="00D11B0B" w:rsidRDefault="0092417F" w:rsidP="0092417F">
      <w:pPr>
        <w:spacing w:after="0" w:line="360" w:lineRule="auto"/>
        <w:jc w:val="both"/>
        <w:rPr>
          <w:rFonts w:ascii="Times New Roman" w:hAnsi="Times New Roman" w:cs="Times New Roman"/>
          <w:sz w:val="24"/>
          <w:szCs w:val="24"/>
          <w:lang w:val="en-US" w:bidi="ar-DZ"/>
        </w:rPr>
      </w:pPr>
      <w:r w:rsidRPr="00D11B0B">
        <w:rPr>
          <w:rFonts w:ascii="Times New Roman" w:hAnsi="Times New Roman" w:cs="Times New Roman"/>
          <w:b/>
          <w:bCs/>
          <w:i/>
          <w:iCs/>
          <w:sz w:val="24"/>
          <w:szCs w:val="24"/>
          <w:lang w:val="en-US" w:bidi="ar-DZ"/>
        </w:rPr>
        <w:t>Keywords:</w:t>
      </w:r>
      <w:r w:rsidRPr="00D11B0B">
        <w:rPr>
          <w:rFonts w:ascii="Times New Roman" w:hAnsi="Times New Roman" w:cs="Times New Roman"/>
          <w:b/>
          <w:bCs/>
          <w:sz w:val="24"/>
          <w:szCs w:val="24"/>
          <w:lang w:val="en-US" w:bidi="ar-DZ"/>
        </w:rPr>
        <w:t xml:space="preserve"> </w:t>
      </w:r>
      <w:r w:rsidRPr="00D11B0B">
        <w:rPr>
          <w:rFonts w:ascii="Times New Roman" w:hAnsi="Times New Roman" w:cs="Times New Roman"/>
          <w:sz w:val="24"/>
          <w:szCs w:val="24"/>
          <w:lang w:val="en-US" w:bidi="ar-DZ"/>
        </w:rPr>
        <w:t>Corrosion inhibition; Hydrazone; Carbon steel; DFT; XPS; Molecular Dynamics.</w:t>
      </w:r>
    </w:p>
    <w:p w:rsidR="0092417F" w:rsidRDefault="0092417F" w:rsidP="0092417F">
      <w:pPr>
        <w:spacing w:line="360" w:lineRule="auto"/>
        <w:rPr>
          <w:rFonts w:asciiTheme="majorBidi" w:hAnsiTheme="majorBidi" w:cstheme="majorBidi"/>
          <w:b/>
          <w:bCs/>
          <w:i/>
          <w:iCs/>
          <w:sz w:val="24"/>
          <w:szCs w:val="24"/>
          <w:lang w:val="en-US"/>
        </w:rPr>
      </w:pPr>
    </w:p>
    <w:p w:rsidR="0092417F" w:rsidRDefault="0092417F" w:rsidP="0092417F">
      <w:pPr>
        <w:spacing w:line="360" w:lineRule="auto"/>
        <w:rPr>
          <w:rFonts w:asciiTheme="majorBidi" w:hAnsiTheme="majorBidi" w:cstheme="majorBidi"/>
          <w:b/>
          <w:bCs/>
          <w:i/>
          <w:iCs/>
          <w:sz w:val="24"/>
          <w:szCs w:val="24"/>
          <w:lang w:val="en-US"/>
        </w:rPr>
      </w:pPr>
    </w:p>
    <w:p w:rsidR="0092417F" w:rsidRDefault="0092417F" w:rsidP="0092417F">
      <w:pPr>
        <w:spacing w:line="360" w:lineRule="auto"/>
        <w:rPr>
          <w:rFonts w:asciiTheme="majorBidi" w:hAnsiTheme="majorBidi" w:cstheme="majorBidi"/>
          <w:b/>
          <w:bCs/>
          <w:i/>
          <w:iCs/>
          <w:sz w:val="24"/>
          <w:szCs w:val="24"/>
          <w:lang w:val="en-US"/>
        </w:rPr>
      </w:pPr>
    </w:p>
    <w:p w:rsidR="0092417F" w:rsidRDefault="0092417F" w:rsidP="0092417F">
      <w:pPr>
        <w:spacing w:line="360" w:lineRule="auto"/>
        <w:rPr>
          <w:rFonts w:asciiTheme="majorBidi" w:hAnsiTheme="majorBidi" w:cstheme="majorBidi"/>
          <w:b/>
          <w:bCs/>
          <w:i/>
          <w:iCs/>
          <w:sz w:val="24"/>
          <w:szCs w:val="24"/>
          <w:lang w:val="en-US"/>
        </w:rPr>
      </w:pPr>
    </w:p>
    <w:p w:rsidR="0092417F" w:rsidRDefault="0092417F" w:rsidP="0092417F">
      <w:pPr>
        <w:spacing w:line="360" w:lineRule="auto"/>
        <w:rPr>
          <w:rFonts w:asciiTheme="majorBidi" w:hAnsiTheme="majorBidi" w:cstheme="majorBidi"/>
          <w:b/>
          <w:bCs/>
          <w:i/>
          <w:iCs/>
          <w:sz w:val="24"/>
          <w:szCs w:val="24"/>
          <w:lang w:val="en-US"/>
        </w:rPr>
      </w:pPr>
    </w:p>
    <w:p w:rsidR="0092417F" w:rsidRDefault="0092417F" w:rsidP="0092417F">
      <w:pPr>
        <w:spacing w:line="360" w:lineRule="auto"/>
        <w:rPr>
          <w:rFonts w:asciiTheme="majorBidi" w:hAnsiTheme="majorBidi" w:cstheme="majorBidi"/>
          <w:b/>
          <w:bCs/>
          <w:i/>
          <w:iCs/>
          <w:sz w:val="24"/>
          <w:szCs w:val="24"/>
          <w:lang w:val="en-US"/>
        </w:rPr>
      </w:pPr>
    </w:p>
    <w:p w:rsidR="0092417F" w:rsidRDefault="0092417F" w:rsidP="0092417F">
      <w:pPr>
        <w:spacing w:line="360" w:lineRule="auto"/>
        <w:rPr>
          <w:rFonts w:asciiTheme="majorBidi" w:hAnsiTheme="majorBidi" w:cstheme="majorBidi"/>
          <w:b/>
          <w:bCs/>
          <w:i/>
          <w:iCs/>
          <w:sz w:val="24"/>
          <w:szCs w:val="24"/>
          <w:lang w:val="en-US"/>
        </w:rPr>
        <w:sectPr w:rsidR="0092417F" w:rsidSect="004A7C95">
          <w:footerReference w:type="default" r:id="rId6"/>
          <w:pgSz w:w="11906" w:h="16838"/>
          <w:pgMar w:top="1417" w:right="1417" w:bottom="1417" w:left="1417" w:header="708" w:footer="708" w:gutter="0"/>
          <w:pgNumType w:start="126"/>
          <w:cols w:space="708"/>
          <w:docGrid w:linePitch="360"/>
        </w:sectPr>
      </w:pPr>
    </w:p>
    <w:p w:rsidR="0092417F" w:rsidRPr="00732A79" w:rsidRDefault="0092417F" w:rsidP="0092417F">
      <w:pPr>
        <w:pStyle w:val="Heading1"/>
        <w:rPr>
          <w:rFonts w:asciiTheme="majorBidi" w:hAnsiTheme="majorBidi"/>
          <w:b/>
          <w:bCs/>
          <w:color w:val="auto"/>
          <w:sz w:val="24"/>
          <w:szCs w:val="24"/>
        </w:rPr>
      </w:pPr>
      <w:bookmarkStart w:id="2" w:name="_Toc68980775"/>
      <w:r w:rsidRPr="00732A79">
        <w:rPr>
          <w:rFonts w:asciiTheme="majorBidi" w:hAnsiTheme="majorBidi"/>
          <w:b/>
          <w:bCs/>
          <w:color w:val="auto"/>
          <w:sz w:val="24"/>
          <w:szCs w:val="24"/>
        </w:rPr>
        <w:lastRenderedPageBreak/>
        <w:t>Résumé</w:t>
      </w:r>
      <w:bookmarkEnd w:id="2"/>
    </w:p>
    <w:p w:rsidR="0092417F" w:rsidRDefault="0092417F" w:rsidP="0092417F">
      <w:pPr>
        <w:spacing w:line="360" w:lineRule="auto"/>
        <w:ind w:firstLine="708"/>
        <w:jc w:val="both"/>
        <w:rPr>
          <w:rFonts w:asciiTheme="majorBidi" w:hAnsiTheme="majorBidi" w:cstheme="majorBidi"/>
          <w:sz w:val="24"/>
          <w:szCs w:val="24"/>
        </w:rPr>
      </w:pPr>
    </w:p>
    <w:p w:rsidR="0092417F" w:rsidRPr="00D11B0B" w:rsidRDefault="0092417F" w:rsidP="0092417F">
      <w:pPr>
        <w:spacing w:line="360" w:lineRule="auto"/>
        <w:ind w:firstLine="708"/>
        <w:jc w:val="both"/>
        <w:rPr>
          <w:rFonts w:asciiTheme="majorBidi" w:hAnsiTheme="majorBidi" w:cstheme="majorBidi"/>
          <w:sz w:val="24"/>
          <w:szCs w:val="24"/>
        </w:rPr>
      </w:pPr>
      <w:r w:rsidRPr="00D11B0B">
        <w:rPr>
          <w:rFonts w:asciiTheme="majorBidi" w:hAnsiTheme="majorBidi" w:cstheme="majorBidi"/>
          <w:sz w:val="24"/>
          <w:szCs w:val="24"/>
        </w:rPr>
        <w:t xml:space="preserve">La protection contre la corrosion de l'acier au carbone est un défi important dans le domaine industriel. </w:t>
      </w:r>
      <w:r w:rsidRPr="00732A79">
        <w:rPr>
          <w:rFonts w:asciiTheme="majorBidi" w:hAnsiTheme="majorBidi" w:cstheme="majorBidi"/>
          <w:sz w:val="24"/>
          <w:szCs w:val="24"/>
        </w:rPr>
        <w:t>La recherche d'une approche de protection efficace est un sujet de préoccupation considérable et toujours un sujet de recherche en cours. Dans le présent travail, quatre dérivés d'hydrazone, à savoir (</w:t>
      </w:r>
      <w:r w:rsidRPr="00732A79">
        <w:rPr>
          <w:rFonts w:ascii="Times New Roman" w:hAnsi="Times New Roman" w:cs="Times New Roman"/>
          <w:i/>
          <w:iCs/>
          <w:sz w:val="24"/>
          <w:szCs w:val="24"/>
          <w:lang w:bidi="ar-DZ"/>
        </w:rPr>
        <w:t>E</w:t>
      </w:r>
      <w:r w:rsidRPr="00732A79">
        <w:rPr>
          <w:rFonts w:asciiTheme="majorBidi" w:hAnsiTheme="majorBidi" w:cstheme="majorBidi"/>
          <w:sz w:val="24"/>
          <w:szCs w:val="24"/>
        </w:rPr>
        <w:t xml:space="preserve">) -1- (2,4-dinitrophényl) -2- (2,4-dihydroxy </w:t>
      </w:r>
      <w:proofErr w:type="spellStart"/>
      <w:r w:rsidRPr="00732A79">
        <w:rPr>
          <w:rFonts w:asciiTheme="majorBidi" w:hAnsiTheme="majorBidi" w:cstheme="majorBidi"/>
          <w:sz w:val="24"/>
          <w:szCs w:val="24"/>
        </w:rPr>
        <w:t>benzylidène</w:t>
      </w:r>
      <w:proofErr w:type="spellEnd"/>
      <w:r w:rsidRPr="00732A79">
        <w:rPr>
          <w:rFonts w:asciiTheme="majorBidi" w:hAnsiTheme="majorBidi" w:cstheme="majorBidi"/>
          <w:sz w:val="24"/>
          <w:szCs w:val="24"/>
        </w:rPr>
        <w:t>) hydrazine (HYD-OH), (</w:t>
      </w:r>
      <w:r w:rsidRPr="00732A79">
        <w:rPr>
          <w:rFonts w:ascii="Times New Roman" w:hAnsi="Times New Roman" w:cs="Times New Roman"/>
          <w:i/>
          <w:iCs/>
          <w:sz w:val="24"/>
          <w:szCs w:val="24"/>
          <w:lang w:bidi="ar-DZ"/>
        </w:rPr>
        <w:t>E</w:t>
      </w:r>
      <w:r w:rsidRPr="00732A79">
        <w:rPr>
          <w:rFonts w:asciiTheme="majorBidi" w:hAnsiTheme="majorBidi" w:cstheme="majorBidi"/>
          <w:sz w:val="24"/>
          <w:szCs w:val="24"/>
        </w:rPr>
        <w:t>) -1- (2,4 -</w:t>
      </w:r>
      <w:proofErr w:type="spellStart"/>
      <w:r w:rsidRPr="00732A79">
        <w:rPr>
          <w:rFonts w:asciiTheme="majorBidi" w:hAnsiTheme="majorBidi" w:cstheme="majorBidi"/>
          <w:sz w:val="24"/>
          <w:szCs w:val="24"/>
        </w:rPr>
        <w:t>dinitrophényl</w:t>
      </w:r>
      <w:proofErr w:type="spellEnd"/>
      <w:r w:rsidRPr="00732A79">
        <w:rPr>
          <w:rFonts w:asciiTheme="majorBidi" w:hAnsiTheme="majorBidi" w:cstheme="majorBidi"/>
          <w:sz w:val="24"/>
          <w:szCs w:val="24"/>
        </w:rPr>
        <w:t>) -2- (4-isopropylbenzylidène) hydrazine (HYD-iso), (</w:t>
      </w:r>
      <w:r w:rsidRPr="00732A79">
        <w:rPr>
          <w:rFonts w:ascii="Times New Roman" w:hAnsi="Times New Roman" w:cs="Times New Roman"/>
          <w:i/>
          <w:iCs/>
          <w:sz w:val="24"/>
          <w:szCs w:val="24"/>
          <w:lang w:bidi="ar-DZ"/>
        </w:rPr>
        <w:t>E</w:t>
      </w:r>
      <w:r w:rsidRPr="00732A79">
        <w:rPr>
          <w:rFonts w:asciiTheme="majorBidi" w:hAnsiTheme="majorBidi" w:cstheme="majorBidi"/>
          <w:sz w:val="24"/>
          <w:szCs w:val="24"/>
        </w:rPr>
        <w:t>) -1- (2,4-dinitrophényl) -2- (4-méthylbenzylidène) hydrazine (HYD-Me), et (</w:t>
      </w:r>
      <w:r w:rsidRPr="00732A79">
        <w:rPr>
          <w:rFonts w:ascii="Times New Roman" w:hAnsi="Times New Roman" w:cs="Times New Roman"/>
          <w:i/>
          <w:iCs/>
          <w:sz w:val="24"/>
          <w:szCs w:val="24"/>
          <w:lang w:bidi="ar-DZ"/>
        </w:rPr>
        <w:t>E</w:t>
      </w:r>
      <w:r w:rsidRPr="00732A79">
        <w:rPr>
          <w:rFonts w:asciiTheme="majorBidi" w:hAnsiTheme="majorBidi" w:cstheme="majorBidi"/>
          <w:sz w:val="24"/>
          <w:szCs w:val="24"/>
        </w:rPr>
        <w:t xml:space="preserve">) -1- (2,4-dinitrophényl) -2- (4-chloro </w:t>
      </w:r>
      <w:proofErr w:type="spellStart"/>
      <w:r w:rsidRPr="00732A79">
        <w:rPr>
          <w:rFonts w:asciiTheme="majorBidi" w:hAnsiTheme="majorBidi" w:cstheme="majorBidi"/>
          <w:sz w:val="24"/>
          <w:szCs w:val="24"/>
        </w:rPr>
        <w:t>benzylidène</w:t>
      </w:r>
      <w:proofErr w:type="spellEnd"/>
      <w:r w:rsidRPr="00732A79">
        <w:rPr>
          <w:rFonts w:asciiTheme="majorBidi" w:hAnsiTheme="majorBidi" w:cstheme="majorBidi"/>
          <w:sz w:val="24"/>
          <w:szCs w:val="24"/>
        </w:rPr>
        <w:t xml:space="preserve">) hydrazine (HYD-Cl) ont été utilisés dans une solution de HCl 1,0 M pour l'atténuation de la corrosion de l'acier au carbone de qualité API. Leur performance d'inhibition de la corrosion a été évaluée par des tests électrochimiques tandis que la surface de l'acier a été analysée par spectroscopie </w:t>
      </w:r>
      <w:proofErr w:type="spellStart"/>
      <w:r w:rsidRPr="00732A79">
        <w:rPr>
          <w:rFonts w:asciiTheme="majorBidi" w:hAnsiTheme="majorBidi" w:cstheme="majorBidi"/>
          <w:sz w:val="24"/>
          <w:szCs w:val="24"/>
        </w:rPr>
        <w:t>photoélectronique</w:t>
      </w:r>
      <w:proofErr w:type="spellEnd"/>
      <w:r w:rsidRPr="00732A79">
        <w:rPr>
          <w:rFonts w:asciiTheme="majorBidi" w:hAnsiTheme="majorBidi" w:cstheme="majorBidi"/>
          <w:sz w:val="24"/>
          <w:szCs w:val="24"/>
        </w:rPr>
        <w:t xml:space="preserve"> aux rayons X (</w:t>
      </w:r>
      <w:r w:rsidRPr="00D11B0B">
        <w:rPr>
          <w:rFonts w:asciiTheme="majorBidi" w:hAnsiTheme="majorBidi" w:cstheme="majorBidi"/>
          <w:sz w:val="24"/>
          <w:szCs w:val="24"/>
        </w:rPr>
        <w:t>XPS), angle de contact et microscope électronique à balayage (SEM). Les tests électrochimiques ont montré des rendements d'environ 98%, 96%, 94% et 91% pour l'acier au carbone exposé à une solution de HCl 1,0 M contenant 5 × 10</w:t>
      </w:r>
      <w:r w:rsidRPr="00D11B0B">
        <w:rPr>
          <w:rFonts w:asciiTheme="majorBidi" w:hAnsiTheme="majorBidi" w:cstheme="majorBidi"/>
          <w:sz w:val="24"/>
          <w:szCs w:val="24"/>
          <w:vertAlign w:val="superscript"/>
        </w:rPr>
        <w:t>-3</w:t>
      </w:r>
      <w:r w:rsidRPr="00D11B0B">
        <w:rPr>
          <w:rFonts w:asciiTheme="majorBidi" w:hAnsiTheme="majorBidi" w:cstheme="majorBidi"/>
          <w:sz w:val="24"/>
          <w:szCs w:val="24"/>
        </w:rPr>
        <w:t xml:space="preserve"> mol / L de HYD-OH, HYD-iso, HYD-Me et HYD- Cl, respectivement. Tous les composés ont été classés comme inhibiteurs de type mixte, inhibant à la fois les réactions cathodiques et anodiques. Les résultats du modèle XPS et isotherme ont révélé que les composés testés adsorbés sur la surface de l'acier par un mécanisme combiné physique et chimique suivant le modèle de Langmuir. Des simulations DFT et MD ont été utilisées pour étudier les sites les plus réactifs de la molécule d'hydrazone et son mécanisme d'adsorption, respectivement.</w:t>
      </w:r>
    </w:p>
    <w:p w:rsidR="0092417F" w:rsidRDefault="0092417F" w:rsidP="0092417F">
      <w:pPr>
        <w:spacing w:line="360" w:lineRule="auto"/>
        <w:jc w:val="both"/>
        <w:rPr>
          <w:rFonts w:asciiTheme="majorBidi" w:hAnsiTheme="majorBidi" w:cstheme="majorBidi"/>
          <w:sz w:val="24"/>
          <w:szCs w:val="24"/>
        </w:rPr>
      </w:pPr>
      <w:r w:rsidRPr="00D11B0B">
        <w:rPr>
          <w:rFonts w:asciiTheme="majorBidi" w:hAnsiTheme="majorBidi" w:cstheme="majorBidi"/>
          <w:b/>
          <w:bCs/>
          <w:i/>
          <w:iCs/>
          <w:sz w:val="24"/>
          <w:szCs w:val="24"/>
        </w:rPr>
        <w:t>Mots clés:</w:t>
      </w:r>
      <w:r w:rsidRPr="00D11B0B">
        <w:rPr>
          <w:rFonts w:asciiTheme="majorBidi" w:hAnsiTheme="majorBidi" w:cstheme="majorBidi"/>
          <w:sz w:val="24"/>
          <w:szCs w:val="24"/>
        </w:rPr>
        <w:t xml:space="preserve"> inhibition de la corrosion; Hydrazone; Acier Carbone; DFT; XPS; Dynamique moléculaire.</w:t>
      </w:r>
    </w:p>
    <w:p w:rsidR="0092417F" w:rsidRDefault="0092417F" w:rsidP="0092417F">
      <w:pPr>
        <w:spacing w:line="360" w:lineRule="auto"/>
        <w:jc w:val="both"/>
        <w:rPr>
          <w:rFonts w:asciiTheme="majorBidi" w:hAnsiTheme="majorBidi" w:cstheme="majorBidi"/>
          <w:sz w:val="24"/>
          <w:szCs w:val="24"/>
        </w:rPr>
      </w:pPr>
    </w:p>
    <w:p w:rsidR="0092417F" w:rsidRDefault="0092417F" w:rsidP="0092417F">
      <w:pPr>
        <w:spacing w:line="360" w:lineRule="auto"/>
        <w:jc w:val="both"/>
        <w:rPr>
          <w:rFonts w:asciiTheme="majorBidi" w:hAnsiTheme="majorBidi" w:cstheme="majorBidi"/>
          <w:sz w:val="24"/>
          <w:szCs w:val="24"/>
        </w:rPr>
      </w:pPr>
    </w:p>
    <w:p w:rsidR="0092417F" w:rsidRDefault="0092417F" w:rsidP="0092417F">
      <w:pPr>
        <w:spacing w:line="360" w:lineRule="auto"/>
        <w:jc w:val="both"/>
        <w:rPr>
          <w:rFonts w:asciiTheme="majorBidi" w:hAnsiTheme="majorBidi" w:cstheme="majorBidi"/>
          <w:sz w:val="24"/>
          <w:szCs w:val="24"/>
        </w:rPr>
      </w:pPr>
    </w:p>
    <w:p w:rsidR="0092417F" w:rsidRDefault="0092417F" w:rsidP="0092417F">
      <w:pPr>
        <w:spacing w:line="360" w:lineRule="auto"/>
        <w:jc w:val="both"/>
        <w:rPr>
          <w:rFonts w:asciiTheme="majorBidi" w:hAnsiTheme="majorBidi" w:cstheme="majorBidi"/>
          <w:sz w:val="24"/>
          <w:szCs w:val="24"/>
        </w:rPr>
      </w:pPr>
    </w:p>
    <w:p w:rsidR="0092417F" w:rsidRDefault="0092417F" w:rsidP="0092417F">
      <w:pPr>
        <w:spacing w:line="360" w:lineRule="auto"/>
        <w:jc w:val="both"/>
        <w:rPr>
          <w:rFonts w:asciiTheme="majorBidi" w:hAnsiTheme="majorBidi" w:cstheme="majorBidi"/>
          <w:sz w:val="24"/>
          <w:szCs w:val="24"/>
        </w:rPr>
      </w:pPr>
    </w:p>
    <w:p w:rsidR="0092417F" w:rsidRDefault="0092417F" w:rsidP="0092417F">
      <w:pPr>
        <w:tabs>
          <w:tab w:val="left" w:pos="5143"/>
        </w:tabs>
        <w:rPr>
          <w:rFonts w:asciiTheme="majorBidi" w:hAnsiTheme="majorBidi" w:cstheme="majorBidi"/>
          <w:sz w:val="24"/>
          <w:szCs w:val="24"/>
        </w:rPr>
        <w:sectPr w:rsidR="0092417F" w:rsidSect="004A7C95">
          <w:headerReference w:type="default" r:id="rId7"/>
          <w:footerReference w:type="default" r:id="rId8"/>
          <w:pgSz w:w="11906" w:h="16838"/>
          <w:pgMar w:top="1417" w:right="1417" w:bottom="1417" w:left="1417" w:header="708" w:footer="708" w:gutter="0"/>
          <w:pgNumType w:start="127"/>
          <w:cols w:space="708"/>
          <w:docGrid w:linePitch="360"/>
        </w:sectPr>
      </w:pPr>
    </w:p>
    <w:p w:rsidR="0092417F" w:rsidRPr="00D16275" w:rsidRDefault="0092417F" w:rsidP="0092417F">
      <w:pPr>
        <w:pStyle w:val="Heading1"/>
        <w:jc w:val="right"/>
        <w:rPr>
          <w:rFonts w:asciiTheme="majorBidi" w:hAnsiTheme="majorBidi"/>
          <w:b/>
          <w:bCs/>
          <w:color w:val="auto"/>
          <w:sz w:val="28"/>
          <w:szCs w:val="28"/>
          <w:rtl/>
        </w:rPr>
      </w:pPr>
      <w:bookmarkStart w:id="3" w:name="_Toc68980776"/>
      <w:r w:rsidRPr="00D16275">
        <w:rPr>
          <w:rFonts w:asciiTheme="majorBidi" w:hAnsiTheme="majorBidi" w:hint="cs"/>
          <w:b/>
          <w:bCs/>
          <w:color w:val="auto"/>
          <w:sz w:val="28"/>
          <w:szCs w:val="28"/>
          <w:rtl/>
        </w:rPr>
        <w:lastRenderedPageBreak/>
        <w:t>الملخص</w:t>
      </w:r>
      <w:bookmarkEnd w:id="3"/>
    </w:p>
    <w:p w:rsidR="0092417F" w:rsidRPr="00D16275" w:rsidRDefault="0092417F" w:rsidP="0092417F">
      <w:pPr>
        <w:spacing w:after="0" w:line="360" w:lineRule="auto"/>
        <w:jc w:val="right"/>
        <w:rPr>
          <w:rFonts w:asciiTheme="majorBidi" w:hAnsiTheme="majorBidi" w:cs="Times New Roman"/>
          <w:sz w:val="28"/>
          <w:szCs w:val="28"/>
          <w:rtl/>
          <w:lang w:bidi="ar-DZ"/>
        </w:rPr>
      </w:pPr>
      <w:r w:rsidRPr="00D16275">
        <w:rPr>
          <w:rFonts w:asciiTheme="majorBidi" w:hAnsiTheme="majorBidi" w:cs="Times New Roman" w:hint="cs"/>
          <w:color w:val="FF0000"/>
          <w:sz w:val="28"/>
          <w:szCs w:val="28"/>
          <w:rtl/>
          <w:lang w:bidi="ar-DZ"/>
        </w:rPr>
        <w:t xml:space="preserve">        </w:t>
      </w:r>
      <w:r w:rsidRPr="00D16275">
        <w:rPr>
          <w:rFonts w:asciiTheme="majorBidi" w:hAnsiTheme="majorBidi" w:cs="Times New Roman" w:hint="cs"/>
          <w:sz w:val="28"/>
          <w:szCs w:val="28"/>
          <w:rtl/>
          <w:lang w:bidi="ar-DZ"/>
        </w:rPr>
        <w:t xml:space="preserve">   ان</w:t>
      </w:r>
      <w:r w:rsidRPr="00D16275">
        <w:rPr>
          <w:rFonts w:asciiTheme="majorBidi" w:hAnsiTheme="majorBidi" w:cs="Times New Roman"/>
          <w:sz w:val="28"/>
          <w:szCs w:val="28"/>
          <w:rtl/>
          <w:lang w:bidi="ar-DZ"/>
        </w:rPr>
        <w:t xml:space="preserve"> حماية الفولاذ الكربوني</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 xml:space="preserve">من </w:t>
      </w:r>
      <w:r w:rsidRPr="00D16275">
        <w:rPr>
          <w:rFonts w:asciiTheme="majorBidi" w:hAnsiTheme="majorBidi" w:cs="Times New Roman" w:hint="cs"/>
          <w:sz w:val="28"/>
          <w:szCs w:val="28"/>
          <w:rtl/>
          <w:lang w:bidi="ar-DZ"/>
        </w:rPr>
        <w:t>ال</w:t>
      </w:r>
      <w:r w:rsidRPr="00D16275">
        <w:rPr>
          <w:rFonts w:asciiTheme="majorBidi" w:hAnsiTheme="majorBidi" w:cs="Times New Roman"/>
          <w:sz w:val="28"/>
          <w:szCs w:val="28"/>
          <w:rtl/>
          <w:lang w:bidi="ar-DZ"/>
        </w:rPr>
        <w:t>تآكل</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تعد تحديًا مهمًا في مجال الصناعة ،</w:t>
      </w:r>
      <w:r w:rsidRPr="00D16275">
        <w:rPr>
          <w:rFonts w:asciiTheme="majorBidi" w:hAnsiTheme="majorBidi" w:cs="Times New Roman" w:hint="cs"/>
          <w:sz w:val="28"/>
          <w:szCs w:val="28"/>
          <w:rtl/>
          <w:lang w:bidi="ar-DZ"/>
        </w:rPr>
        <w:t xml:space="preserve"> حيث يتحقق ذلك</w:t>
      </w:r>
      <w:r w:rsidRPr="00D16275">
        <w:rPr>
          <w:rFonts w:asciiTheme="majorBidi" w:hAnsiTheme="majorBidi" w:cs="Times New Roman"/>
          <w:sz w:val="28"/>
          <w:szCs w:val="28"/>
          <w:rtl/>
          <w:lang w:bidi="ar-DZ"/>
        </w:rPr>
        <w:t xml:space="preserve"> </w:t>
      </w:r>
      <w:r w:rsidRPr="00D16275">
        <w:rPr>
          <w:rFonts w:asciiTheme="majorBidi" w:hAnsiTheme="majorBidi" w:cs="Times New Roman" w:hint="cs"/>
          <w:sz w:val="28"/>
          <w:szCs w:val="28"/>
          <w:rtl/>
          <w:lang w:bidi="ar-DZ"/>
        </w:rPr>
        <w:t xml:space="preserve">باستعمال طرق </w:t>
      </w:r>
      <w:r w:rsidRPr="00D16275">
        <w:rPr>
          <w:rFonts w:asciiTheme="majorBidi" w:hAnsiTheme="majorBidi" w:cs="Times New Roman"/>
          <w:sz w:val="28"/>
          <w:szCs w:val="28"/>
          <w:rtl/>
          <w:lang w:bidi="ar-DZ"/>
        </w:rPr>
        <w:t>حماية فعا</w:t>
      </w:r>
      <w:r w:rsidRPr="00D16275">
        <w:rPr>
          <w:rFonts w:asciiTheme="majorBidi" w:hAnsiTheme="majorBidi" w:cs="Times New Roman" w:hint="cs"/>
          <w:sz w:val="28"/>
          <w:szCs w:val="28"/>
          <w:rtl/>
          <w:lang w:bidi="ar-DZ"/>
        </w:rPr>
        <w:t>لة</w:t>
      </w:r>
      <w:r w:rsidRPr="00D16275">
        <w:rPr>
          <w:rFonts w:asciiTheme="majorBidi" w:hAnsiTheme="majorBidi" w:cs="Times New Roman"/>
          <w:sz w:val="28"/>
          <w:szCs w:val="28"/>
          <w:rtl/>
          <w:lang w:bidi="ar-DZ"/>
        </w:rPr>
        <w:t xml:space="preserve"> و</w:t>
      </w:r>
      <w:r w:rsidRPr="00D16275">
        <w:rPr>
          <w:rFonts w:asciiTheme="majorBidi" w:hAnsiTheme="majorBidi" w:cs="Times New Roman" w:hint="cs"/>
          <w:sz w:val="28"/>
          <w:szCs w:val="28"/>
          <w:rtl/>
          <w:lang w:bidi="ar-DZ"/>
        </w:rPr>
        <w:t>التي</w:t>
      </w:r>
      <w:r w:rsidRPr="00D16275">
        <w:rPr>
          <w:rFonts w:asciiTheme="majorBidi" w:hAnsiTheme="majorBidi" w:cs="Times New Roman"/>
          <w:sz w:val="28"/>
          <w:szCs w:val="28"/>
          <w:rtl/>
          <w:lang w:bidi="ar-DZ"/>
        </w:rPr>
        <w:t xml:space="preserve"> </w:t>
      </w:r>
      <w:r w:rsidRPr="00D16275">
        <w:rPr>
          <w:rFonts w:asciiTheme="majorBidi" w:hAnsiTheme="majorBidi" w:cs="Times New Roman" w:hint="cs"/>
          <w:sz w:val="28"/>
          <w:szCs w:val="28"/>
          <w:rtl/>
          <w:lang w:bidi="ar-DZ"/>
        </w:rPr>
        <w:t>ت</w:t>
      </w:r>
      <w:r w:rsidRPr="00D16275">
        <w:rPr>
          <w:rFonts w:asciiTheme="majorBidi" w:hAnsiTheme="majorBidi" w:cs="Times New Roman"/>
          <w:sz w:val="28"/>
          <w:szCs w:val="28"/>
          <w:rtl/>
          <w:lang w:bidi="ar-DZ"/>
        </w:rPr>
        <w:t>زال موضوع بحث مستمر. في</w:t>
      </w:r>
      <w:r w:rsidRPr="00D16275">
        <w:rPr>
          <w:rFonts w:asciiTheme="majorBidi" w:hAnsiTheme="majorBidi" w:cs="Times New Roman" w:hint="cs"/>
          <w:sz w:val="28"/>
          <w:szCs w:val="28"/>
          <w:rtl/>
          <w:lang w:bidi="ar-DZ"/>
        </w:rPr>
        <w:t xml:space="preserve"> هذا</w:t>
      </w:r>
      <w:r w:rsidRPr="00D16275">
        <w:rPr>
          <w:rFonts w:asciiTheme="majorBidi" w:hAnsiTheme="majorBidi" w:cs="Times New Roman"/>
          <w:sz w:val="28"/>
          <w:szCs w:val="28"/>
          <w:rtl/>
          <w:lang w:bidi="ar-DZ"/>
        </w:rPr>
        <w:t xml:space="preserve"> العمل ، </w:t>
      </w:r>
      <w:r w:rsidRPr="00D16275">
        <w:rPr>
          <w:rFonts w:asciiTheme="majorBidi" w:hAnsiTheme="majorBidi" w:cs="Times New Roman" w:hint="cs"/>
          <w:sz w:val="28"/>
          <w:szCs w:val="28"/>
          <w:rtl/>
          <w:lang w:bidi="ar-DZ"/>
        </w:rPr>
        <w:t>قمنا</w:t>
      </w:r>
      <w:r w:rsidRPr="00D16275">
        <w:rPr>
          <w:rFonts w:asciiTheme="majorBidi" w:hAnsiTheme="majorBidi" w:cs="Times New Roman"/>
          <w:sz w:val="28"/>
          <w:szCs w:val="28"/>
          <w:rtl/>
          <w:lang w:bidi="ar-DZ"/>
        </w:rPr>
        <w:t xml:space="preserve"> </w:t>
      </w:r>
      <w:r w:rsidRPr="00D16275">
        <w:rPr>
          <w:rFonts w:asciiTheme="majorBidi" w:hAnsiTheme="majorBidi" w:cs="Times New Roman" w:hint="cs"/>
          <w:sz w:val="28"/>
          <w:szCs w:val="28"/>
          <w:rtl/>
          <w:lang w:bidi="ar-DZ"/>
        </w:rPr>
        <w:t>ب</w:t>
      </w:r>
      <w:r w:rsidRPr="00D16275">
        <w:rPr>
          <w:rFonts w:asciiTheme="majorBidi" w:hAnsiTheme="majorBidi" w:cs="Times New Roman"/>
          <w:sz w:val="28"/>
          <w:szCs w:val="28"/>
          <w:rtl/>
          <w:lang w:bidi="ar-DZ"/>
        </w:rPr>
        <w:t>استخدام أربعة مشتقات للهيدرازون في محلول 1.0 مولار من حمض الهيدروكلوريك للتخفيف من تآكل الفولاذ الكربوني. تم تقييم أداء تثبيط التآكل عن طريق الاختبارات الكهروكيميائية بينما تم تحليل سطح الفولاذ عن طريق التحليل الطيفي للإلكترون الضوئي بالأشعة السينية وزاوية التلامس والميكروسكوب الإلكتروني وأظهرت الاختبارات الكهروكيميائية كفاءة 91-98٪ للفولاذ الكربوني المعرض لـ 1.0 مولار من محلول حمض الهيدروكلوريك يحتوي على 5 × 10</w:t>
      </w:r>
      <w:r w:rsidRPr="00D16275">
        <w:rPr>
          <w:rFonts w:asciiTheme="majorBidi" w:hAnsiTheme="majorBidi" w:cs="Times New Roman"/>
          <w:sz w:val="28"/>
          <w:szCs w:val="28"/>
          <w:vertAlign w:val="superscript"/>
          <w:rtl/>
          <w:lang w:bidi="ar-DZ"/>
        </w:rPr>
        <w:t xml:space="preserve">- 3 </w:t>
      </w:r>
      <w:r w:rsidRPr="00D16275">
        <w:rPr>
          <w:rFonts w:asciiTheme="majorBidi" w:hAnsiTheme="majorBidi" w:cs="Times New Roman"/>
          <w:sz w:val="28"/>
          <w:szCs w:val="28"/>
          <w:rtl/>
          <w:lang w:bidi="ar-DZ"/>
        </w:rPr>
        <w:t>مول / لتر</w:t>
      </w:r>
      <w:r w:rsidRPr="00D16275">
        <w:rPr>
          <w:rFonts w:asciiTheme="majorBidi" w:hAnsiTheme="majorBidi" w:cs="Times New Roman" w:hint="cs"/>
          <w:sz w:val="28"/>
          <w:szCs w:val="28"/>
          <w:rtl/>
          <w:lang w:bidi="ar-DZ"/>
        </w:rPr>
        <w:t xml:space="preserve"> من مشتقات ال</w:t>
      </w:r>
      <w:r w:rsidRPr="00D16275">
        <w:rPr>
          <w:rFonts w:asciiTheme="majorBidi" w:hAnsiTheme="majorBidi" w:cs="Times New Roman"/>
          <w:sz w:val="28"/>
          <w:szCs w:val="28"/>
          <w:rtl/>
          <w:lang w:bidi="ar-DZ"/>
        </w:rPr>
        <w:t>هيدرازون</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 تم تصنيف جميع المركبات</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 xml:space="preserve">،مما يثبط التفاعلات الكاثودية والأنودية. كشفت نتائج </w:t>
      </w:r>
      <w:r w:rsidRPr="00D16275">
        <w:rPr>
          <w:rFonts w:asciiTheme="majorBidi" w:hAnsiTheme="majorBidi" w:cs="Times New Roman" w:hint="cs"/>
          <w:sz w:val="28"/>
          <w:szCs w:val="28"/>
          <w:rtl/>
          <w:lang w:bidi="ar-DZ"/>
        </w:rPr>
        <w:t>الامتزاز</w:t>
      </w:r>
      <w:r w:rsidRPr="00D16275">
        <w:rPr>
          <w:rFonts w:asciiTheme="majorBidi" w:hAnsiTheme="majorBidi" w:cs="Times New Roman"/>
          <w:sz w:val="28"/>
          <w:szCs w:val="28"/>
          <w:lang w:bidi="ar-DZ"/>
        </w:rPr>
        <w:t xml:space="preserve"> </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 xml:space="preserve">المختبرة </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 xml:space="preserve">على أنها مثبطات من النوع المختلط </w:t>
      </w:r>
      <w:r w:rsidRPr="00D16275">
        <w:rPr>
          <w:rFonts w:asciiTheme="majorBidi" w:hAnsiTheme="majorBidi" w:cs="Times New Roman" w:hint="cs"/>
          <w:sz w:val="28"/>
          <w:szCs w:val="28"/>
          <w:rtl/>
          <w:lang w:bidi="ar-DZ"/>
        </w:rPr>
        <w:t xml:space="preserve">الهيدروزينات على </w:t>
      </w:r>
      <w:r w:rsidRPr="00D16275">
        <w:rPr>
          <w:rFonts w:asciiTheme="majorBidi" w:hAnsiTheme="majorBidi" w:cs="Times New Roman"/>
          <w:sz w:val="28"/>
          <w:szCs w:val="28"/>
          <w:rtl/>
          <w:lang w:bidi="ar-DZ"/>
        </w:rPr>
        <w:t>سطح الفولاذ</w:t>
      </w:r>
      <w:r w:rsidRPr="00D16275">
        <w:rPr>
          <w:rFonts w:asciiTheme="majorBidi" w:hAnsiTheme="majorBidi" w:cs="Times New Roman" w:hint="cs"/>
          <w:sz w:val="28"/>
          <w:szCs w:val="28"/>
          <w:rtl/>
          <w:lang w:bidi="ar-DZ"/>
        </w:rPr>
        <w:t xml:space="preserve"> انه</w:t>
      </w:r>
      <w:r w:rsidRPr="00D16275">
        <w:rPr>
          <w:rFonts w:asciiTheme="majorBidi" w:hAnsiTheme="majorBidi" w:cs="Times New Roman"/>
          <w:sz w:val="28"/>
          <w:szCs w:val="28"/>
          <w:rtl/>
          <w:lang w:bidi="ar-DZ"/>
        </w:rPr>
        <w:t xml:space="preserve"> </w:t>
      </w:r>
      <w:r w:rsidRPr="00D16275">
        <w:rPr>
          <w:rFonts w:asciiTheme="majorBidi" w:hAnsiTheme="majorBidi" w:cs="Times New Roman" w:hint="cs"/>
          <w:sz w:val="28"/>
          <w:szCs w:val="28"/>
          <w:rtl/>
          <w:lang w:bidi="ar-DZ"/>
        </w:rPr>
        <w:t xml:space="preserve">يتم </w:t>
      </w:r>
      <w:r w:rsidRPr="00D16275">
        <w:rPr>
          <w:rFonts w:asciiTheme="majorBidi" w:hAnsiTheme="majorBidi" w:cs="Times New Roman"/>
          <w:sz w:val="28"/>
          <w:szCs w:val="28"/>
          <w:rtl/>
          <w:lang w:bidi="ar-DZ"/>
        </w:rPr>
        <w:t>من خلال آلية فيزيائية وكيميائية مدمجة وفقًا لنموذج لانجموير</w:t>
      </w:r>
      <w:r w:rsidRPr="00D16275">
        <w:rPr>
          <w:rFonts w:asciiTheme="majorBidi" w:hAnsiTheme="majorBidi" w:cs="Times New Roman" w:hint="cs"/>
          <w:sz w:val="28"/>
          <w:szCs w:val="28"/>
          <w:rtl/>
          <w:lang w:bidi="ar-DZ"/>
        </w:rPr>
        <w:t xml:space="preserve">. تم استخدام حسابات نظرية و المحاكاة الديناميكية </w:t>
      </w:r>
      <w:r w:rsidRPr="00D16275">
        <w:rPr>
          <w:rFonts w:asciiTheme="majorBidi" w:hAnsiTheme="majorBidi" w:cs="Times New Roman"/>
          <w:sz w:val="28"/>
          <w:szCs w:val="28"/>
          <w:rtl/>
          <w:lang w:bidi="ar-DZ"/>
        </w:rPr>
        <w:t>للتحقيق على التوالي ،</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في المواقع الأكثر تفاعلًا لجزيء الهيدرازون وآلية امتصاصه</w:t>
      </w:r>
      <w:r w:rsidRPr="00D16275">
        <w:rPr>
          <w:rFonts w:asciiTheme="majorBidi" w:hAnsiTheme="majorBidi" w:cs="Times New Roman" w:hint="cs"/>
          <w:sz w:val="28"/>
          <w:szCs w:val="28"/>
          <w:rtl/>
          <w:lang w:bidi="ar-DZ"/>
        </w:rPr>
        <w:t>.</w:t>
      </w:r>
    </w:p>
    <w:p w:rsidR="0092417F" w:rsidRPr="00732A79" w:rsidRDefault="0092417F" w:rsidP="0092417F">
      <w:pPr>
        <w:spacing w:after="0" w:line="360" w:lineRule="auto"/>
        <w:jc w:val="right"/>
        <w:rPr>
          <w:rFonts w:asciiTheme="majorBidi" w:hAnsiTheme="majorBidi" w:cs="Times New Roman"/>
          <w:sz w:val="24"/>
          <w:szCs w:val="24"/>
          <w:rtl/>
          <w:lang w:bidi="ar-DZ"/>
        </w:rPr>
      </w:pPr>
    </w:p>
    <w:p w:rsidR="0092417F" w:rsidRPr="00D16275" w:rsidRDefault="0092417F" w:rsidP="0092417F">
      <w:pPr>
        <w:spacing w:after="0" w:line="360" w:lineRule="auto"/>
        <w:jc w:val="right"/>
        <w:rPr>
          <w:rFonts w:asciiTheme="majorBidi" w:hAnsiTheme="majorBidi" w:cs="Times New Roman"/>
          <w:sz w:val="28"/>
          <w:szCs w:val="28"/>
          <w:rtl/>
          <w:lang w:bidi="ar-DZ"/>
        </w:rPr>
      </w:pPr>
      <w:r w:rsidRPr="00D16275">
        <w:rPr>
          <w:rFonts w:asciiTheme="majorBidi" w:hAnsiTheme="majorBidi" w:cs="Times New Roman" w:hint="cs"/>
          <w:b/>
          <w:bCs/>
          <w:sz w:val="28"/>
          <w:szCs w:val="28"/>
          <w:rtl/>
          <w:lang w:bidi="ar-DZ"/>
        </w:rPr>
        <w:t xml:space="preserve">الكلمات المفتاحية: </w:t>
      </w:r>
      <w:r w:rsidRPr="00D16275">
        <w:rPr>
          <w:rFonts w:asciiTheme="majorBidi" w:hAnsiTheme="majorBidi" w:cs="Times New Roman" w:hint="cs"/>
          <w:sz w:val="28"/>
          <w:szCs w:val="28"/>
          <w:rtl/>
          <w:lang w:bidi="ar-DZ"/>
        </w:rPr>
        <w:t xml:space="preserve">تثبيط التاكل, هيدرازون, </w:t>
      </w:r>
      <w:r w:rsidRPr="00D16275">
        <w:rPr>
          <w:rFonts w:asciiTheme="majorBidi" w:hAnsiTheme="majorBidi" w:cs="Times New Roman"/>
          <w:sz w:val="28"/>
          <w:szCs w:val="28"/>
          <w:rtl/>
          <w:lang w:bidi="ar-DZ"/>
        </w:rPr>
        <w:t>الفولاذ</w:t>
      </w:r>
      <w:r w:rsidRPr="00D16275">
        <w:rPr>
          <w:rFonts w:asciiTheme="majorBidi" w:hAnsiTheme="majorBidi" w:cs="Times New Roman" w:hint="cs"/>
          <w:sz w:val="28"/>
          <w:szCs w:val="28"/>
          <w:rtl/>
          <w:lang w:bidi="ar-DZ"/>
        </w:rPr>
        <w:t xml:space="preserve"> الكربوني,</w:t>
      </w:r>
      <w:r w:rsidRPr="00D16275">
        <w:rPr>
          <w:sz w:val="28"/>
          <w:szCs w:val="28"/>
          <w:rtl/>
        </w:rPr>
        <w:t xml:space="preserve"> </w:t>
      </w:r>
      <w:r w:rsidRPr="00D16275">
        <w:rPr>
          <w:rFonts w:hint="cs"/>
          <w:sz w:val="28"/>
          <w:szCs w:val="28"/>
          <w:rtl/>
        </w:rPr>
        <w:t>الـ</w:t>
      </w:r>
      <w:r w:rsidRPr="00D16275">
        <w:rPr>
          <w:rFonts w:asciiTheme="majorBidi" w:hAnsiTheme="majorBidi" w:cs="Times New Roman"/>
          <w:sz w:val="28"/>
          <w:szCs w:val="28"/>
          <w:rtl/>
          <w:lang w:bidi="ar-DZ"/>
        </w:rPr>
        <w:t>تحليل الطيفي للإلكترون</w:t>
      </w:r>
      <w:r w:rsidRPr="00D16275">
        <w:rPr>
          <w:rFonts w:asciiTheme="majorBidi" w:hAnsiTheme="majorBidi" w:cs="Times New Roman" w:hint="cs"/>
          <w:sz w:val="28"/>
          <w:szCs w:val="28"/>
          <w:rtl/>
          <w:lang w:bidi="ar-DZ"/>
        </w:rPr>
        <w:t xml:space="preserve"> </w:t>
      </w:r>
      <w:r w:rsidRPr="00D16275">
        <w:rPr>
          <w:rFonts w:asciiTheme="majorBidi" w:hAnsiTheme="majorBidi" w:cs="Times New Roman"/>
          <w:sz w:val="28"/>
          <w:szCs w:val="28"/>
          <w:rtl/>
          <w:lang w:bidi="ar-DZ"/>
        </w:rPr>
        <w:t>الضوئي بالأشعة السينية،</w:t>
      </w:r>
      <w:r w:rsidRPr="00D16275">
        <w:rPr>
          <w:rFonts w:asciiTheme="majorBidi" w:hAnsiTheme="majorBidi" w:cs="Times New Roman" w:hint="cs"/>
          <w:sz w:val="28"/>
          <w:szCs w:val="28"/>
          <w:rtl/>
          <w:lang w:bidi="ar-DZ"/>
        </w:rPr>
        <w:t xml:space="preserve"> المحاكاة الديناميكية و النظرية.   </w:t>
      </w:r>
    </w:p>
    <w:p w:rsidR="0092417F" w:rsidRPr="004A7C95" w:rsidRDefault="0092417F" w:rsidP="0092417F">
      <w:pPr>
        <w:rPr>
          <w:rFonts w:asciiTheme="majorBidi" w:hAnsiTheme="majorBidi" w:cs="Times New Roman"/>
          <w:sz w:val="24"/>
          <w:szCs w:val="24"/>
          <w:rtl/>
          <w:lang w:bidi="ar-DZ"/>
        </w:rPr>
      </w:pPr>
    </w:p>
    <w:p w:rsidR="0092417F" w:rsidRDefault="0092417F" w:rsidP="0092417F">
      <w:pPr>
        <w:rPr>
          <w:rFonts w:asciiTheme="majorBidi" w:hAnsiTheme="majorBidi" w:cs="Times New Roman"/>
          <w:sz w:val="24"/>
          <w:szCs w:val="24"/>
          <w:rtl/>
          <w:lang w:bidi="ar-DZ"/>
        </w:rPr>
      </w:pPr>
    </w:p>
    <w:p w:rsidR="003A51C8" w:rsidRDefault="003A51C8">
      <w:pPr>
        <w:rPr>
          <w:lang w:bidi="ar-DZ"/>
        </w:rPr>
      </w:pPr>
    </w:p>
    <w:sectPr w:rsidR="003A51C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51DE" w:rsidRDefault="00BB51DE" w:rsidP="0092417F">
      <w:pPr>
        <w:spacing w:after="0" w:line="240" w:lineRule="auto"/>
      </w:pPr>
      <w:r>
        <w:separator/>
      </w:r>
    </w:p>
  </w:endnote>
  <w:endnote w:type="continuationSeparator" w:id="0">
    <w:p w:rsidR="00BB51DE" w:rsidRDefault="00BB51DE" w:rsidP="00924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6EB1" w:rsidRDefault="00BB51DE" w:rsidP="004505EB">
    <w:pPr>
      <w:pStyle w:val="Footer"/>
      <w:jc w:val="center"/>
    </w:pPr>
  </w:p>
  <w:p w:rsidR="00ED6EB1" w:rsidRDefault="00BB51D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6EB1" w:rsidRDefault="00BB51DE" w:rsidP="004505EB">
    <w:pPr>
      <w:pStyle w:val="Footer"/>
      <w:jc w:val="center"/>
    </w:pPr>
  </w:p>
  <w:p w:rsidR="00ED6EB1" w:rsidRDefault="00BB51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51DE" w:rsidRDefault="00BB51DE" w:rsidP="0092417F">
      <w:pPr>
        <w:spacing w:after="0" w:line="240" w:lineRule="auto"/>
      </w:pPr>
      <w:r>
        <w:separator/>
      </w:r>
    </w:p>
  </w:footnote>
  <w:footnote w:type="continuationSeparator" w:id="0">
    <w:p w:rsidR="00BB51DE" w:rsidRDefault="00BB51DE" w:rsidP="009241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6EB1" w:rsidRPr="00DA281A" w:rsidRDefault="00BB51DE" w:rsidP="00DA281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17F"/>
    <w:rsid w:val="00021570"/>
    <w:rsid w:val="002F4B7C"/>
    <w:rsid w:val="003A51C8"/>
    <w:rsid w:val="0061304E"/>
    <w:rsid w:val="007B22F8"/>
    <w:rsid w:val="0092417F"/>
    <w:rsid w:val="00AE2FE4"/>
    <w:rsid w:val="00BB51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923E1E-5983-402D-B21E-C9526F18C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417F"/>
  </w:style>
  <w:style w:type="paragraph" w:styleId="Heading1">
    <w:name w:val="heading 1"/>
    <w:basedOn w:val="Normal"/>
    <w:next w:val="Normal"/>
    <w:link w:val="Heading1Char"/>
    <w:uiPriority w:val="9"/>
    <w:qFormat/>
    <w:rsid w:val="0092417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417F"/>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92417F"/>
    <w:pPr>
      <w:tabs>
        <w:tab w:val="center" w:pos="4536"/>
        <w:tab w:val="right" w:pos="9072"/>
      </w:tabs>
      <w:spacing w:after="0" w:line="240" w:lineRule="auto"/>
    </w:pPr>
  </w:style>
  <w:style w:type="character" w:customStyle="1" w:styleId="HeaderChar">
    <w:name w:val="Header Char"/>
    <w:basedOn w:val="DefaultParagraphFont"/>
    <w:link w:val="Header"/>
    <w:uiPriority w:val="99"/>
    <w:rsid w:val="0092417F"/>
  </w:style>
  <w:style w:type="paragraph" w:styleId="Footer">
    <w:name w:val="footer"/>
    <w:basedOn w:val="Normal"/>
    <w:link w:val="FooterChar"/>
    <w:uiPriority w:val="99"/>
    <w:unhideWhenUsed/>
    <w:rsid w:val="0092417F"/>
    <w:pPr>
      <w:tabs>
        <w:tab w:val="center" w:pos="4536"/>
        <w:tab w:val="right" w:pos="9072"/>
      </w:tabs>
      <w:spacing w:after="0" w:line="240" w:lineRule="auto"/>
    </w:pPr>
  </w:style>
  <w:style w:type="character" w:customStyle="1" w:styleId="FooterChar">
    <w:name w:val="Footer Char"/>
    <w:basedOn w:val="DefaultParagraphFont"/>
    <w:link w:val="Footer"/>
    <w:uiPriority w:val="99"/>
    <w:rsid w:val="009241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694</Words>
  <Characters>3819</Characters>
  <Application>Microsoft Office Word</Application>
  <DocSecurity>0</DocSecurity>
  <Lines>31</Lines>
  <Paragraphs>9</Paragraphs>
  <ScaleCrop>false</ScaleCrop>
  <Company/>
  <LinksUpToDate>false</LinksUpToDate>
  <CharactersWithSpaces>4504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1</cp:revision>
  <dcterms:created xsi:type="dcterms:W3CDTF">2021-04-11T16:57:00Z</dcterms:created>
  <dcterms:modified xsi:type="dcterms:W3CDTF">2021-04-11T16:59:00Z</dcterms:modified>
</cp:coreProperties>
</file>