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911" w:rsidRPr="000E205C" w:rsidRDefault="000E205C" w:rsidP="000E205C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الجمهورية الجزائرية الديمقراطية الشعبية</w:t>
      </w:r>
    </w:p>
    <w:p w:rsidR="000E205C" w:rsidRPr="000E205C" w:rsidRDefault="000E205C" w:rsidP="000E205C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proofErr w:type="gramStart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وزارة</w:t>
      </w:r>
      <w:proofErr w:type="gramEnd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التعليم العالي والبحث العلمي</w:t>
      </w:r>
    </w:p>
    <w:p w:rsidR="000E205C" w:rsidRPr="000E205C" w:rsidRDefault="000E205C" w:rsidP="000E205C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bookmarkStart w:id="0" w:name="_GoBack"/>
      <w:bookmarkEnd w:id="0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جامعة العربي بن مهيدي</w:t>
      </w:r>
    </w:p>
    <w:p w:rsidR="000E205C" w:rsidRPr="000E205C" w:rsidRDefault="000E205C" w:rsidP="000E205C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-أم البواقي-</w:t>
      </w:r>
    </w:p>
    <w:p w:rsidR="000E205C" w:rsidRPr="000E205C" w:rsidRDefault="000E205C" w:rsidP="00107FAF">
      <w:pPr>
        <w:bidi/>
        <w:spacing w:after="0" w:line="24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كلية الآداب </w:t>
      </w:r>
      <w:proofErr w:type="gramStart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واللغات</w:t>
      </w:r>
      <w:proofErr w:type="gramEnd"/>
    </w:p>
    <w:p w:rsidR="000E205C" w:rsidRPr="000E205C" w:rsidRDefault="000E205C" w:rsidP="00107FAF">
      <w:pPr>
        <w:bidi/>
        <w:spacing w:line="24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قسم اللغة العربية وآدابها</w:t>
      </w:r>
    </w:p>
    <w:p w:rsidR="000E205C" w:rsidRPr="000E205C" w:rsidRDefault="000E205C" w:rsidP="00107FAF">
      <w:pPr>
        <w:bidi/>
        <w:spacing w:line="24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proofErr w:type="gramStart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رسالة</w:t>
      </w:r>
      <w:proofErr w:type="gramEnd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دكتوراه (ل.م.د) بعنوان: </w:t>
      </w:r>
    </w:p>
    <w:p w:rsidR="000E205C" w:rsidRPr="000E205C" w:rsidRDefault="000E205C" w:rsidP="00107FAF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شعرية </w:t>
      </w:r>
      <w:proofErr w:type="spellStart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التناص</w:t>
      </w:r>
      <w:proofErr w:type="spellEnd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في نثر البشير الإبراهيمي "عيون البصائر" </w:t>
      </w:r>
      <w:r w:rsidRPr="000E205C">
        <w:rPr>
          <w:rFonts w:ascii="Traditional Arabic" w:hAnsi="Traditional Arabic" w:cs="Traditional Arabic"/>
          <w:b/>
          <w:bCs/>
          <w:sz w:val="36"/>
          <w:szCs w:val="36"/>
          <w:rtl/>
        </w:rPr>
        <w:t>–</w:t>
      </w: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أنموذجا-</w:t>
      </w:r>
    </w:p>
    <w:p w:rsidR="000E205C" w:rsidRPr="000E205C" w:rsidRDefault="000E205C" w:rsidP="00107FAF">
      <w:pPr>
        <w:bidi/>
        <w:spacing w:line="24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إعداد الطالبة: مارية ريمة غربي</w:t>
      </w:r>
      <w:r w:rsidR="00530738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، المولودة بتاريخ: 01 جوان 1988م قسنطينة</w:t>
      </w: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</w:t>
      </w:r>
      <w:r w:rsidR="00530738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                </w:t>
      </w: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إشراف</w:t>
      </w:r>
      <w:r w:rsidR="00530738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الأستاذة الدكتورة: رزيقة </w:t>
      </w:r>
      <w:proofErr w:type="spellStart"/>
      <w:r w:rsidR="00530738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طاوطاو</w:t>
      </w:r>
      <w:proofErr w:type="spellEnd"/>
      <w:r w:rsidR="00530738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، أستاذة محاضرة (أ) بجامعة العربي بن مهيدي.</w:t>
      </w:r>
    </w:p>
    <w:p w:rsidR="000E205C" w:rsidRPr="000E205C" w:rsidRDefault="000E205C" w:rsidP="000E205C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الكلمات المفتاحية:</w:t>
      </w:r>
    </w:p>
    <w:p w:rsidR="000E205C" w:rsidRPr="000E205C" w:rsidRDefault="000E205C" w:rsidP="000E205C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الشعرية ، </w:t>
      </w:r>
      <w:proofErr w:type="spellStart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التناص</w:t>
      </w:r>
      <w:proofErr w:type="spellEnd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،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النثر ،</w:t>
      </w:r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البشير الإبراهيمي، عيون البصائر. </w:t>
      </w:r>
    </w:p>
    <w:p w:rsidR="000E205C" w:rsidRDefault="000E205C" w:rsidP="00530738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proofErr w:type="gramStart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ملخص</w:t>
      </w:r>
      <w:proofErr w:type="gramEnd"/>
      <w:r w:rsidRPr="000E205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البحث:</w:t>
      </w:r>
    </w:p>
    <w:p w:rsidR="000E205C" w:rsidRPr="008441BE" w:rsidRDefault="000E205C" w:rsidP="00530738">
      <w:pPr>
        <w:tabs>
          <w:tab w:val="left" w:pos="2757"/>
        </w:tabs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8441BE">
        <w:rPr>
          <w:rFonts w:ascii="Traditional Arabic" w:hAnsi="Traditional Arabic" w:cs="Traditional Arabic"/>
          <w:sz w:val="32"/>
          <w:szCs w:val="32"/>
          <w:rtl/>
        </w:rPr>
        <w:t xml:space="preserve">تتناول هذه الدراسة شعرية </w:t>
      </w:r>
      <w:proofErr w:type="spellStart"/>
      <w:r w:rsidRPr="008441BE">
        <w:rPr>
          <w:rFonts w:ascii="Traditional Arabic" w:hAnsi="Traditional Arabic" w:cs="Traditional Arabic"/>
          <w:sz w:val="32"/>
          <w:szCs w:val="32"/>
          <w:rtl/>
        </w:rPr>
        <w:t>التناص</w:t>
      </w:r>
      <w:proofErr w:type="spellEnd"/>
      <w:r w:rsidRPr="008441BE">
        <w:rPr>
          <w:rFonts w:ascii="Traditional Arabic" w:hAnsi="Traditional Arabic" w:cs="Traditional Arabic"/>
          <w:sz w:val="32"/>
          <w:szCs w:val="32"/>
          <w:rtl/>
        </w:rPr>
        <w:t xml:space="preserve"> في نثر العلامة الشيخ محمد البشير الإبراهيمي "عيون البصائر" –أنموذجا-وذلك من خلال الوقوف على جماليات تجليات </w:t>
      </w:r>
      <w:proofErr w:type="spellStart"/>
      <w:r w:rsidRPr="008441BE">
        <w:rPr>
          <w:rFonts w:ascii="Traditional Arabic" w:hAnsi="Traditional Arabic" w:cs="Traditional Arabic"/>
          <w:sz w:val="32"/>
          <w:szCs w:val="32"/>
          <w:rtl/>
        </w:rPr>
        <w:t>التناص</w:t>
      </w:r>
      <w:proofErr w:type="spellEnd"/>
      <w:r w:rsidRPr="008441BE">
        <w:rPr>
          <w:rFonts w:ascii="Traditional Arabic" w:hAnsi="Traditional Arabic" w:cs="Traditional Arabic"/>
          <w:sz w:val="32"/>
          <w:szCs w:val="32"/>
          <w:rtl/>
        </w:rPr>
        <w:t xml:space="preserve"> الداخلي </w:t>
      </w:r>
      <w:proofErr w:type="spellStart"/>
      <w:r w:rsidRPr="008441BE">
        <w:rPr>
          <w:rFonts w:ascii="Traditional Arabic" w:hAnsi="Traditional Arabic" w:cs="Traditional Arabic"/>
          <w:sz w:val="32"/>
          <w:szCs w:val="32"/>
          <w:rtl/>
        </w:rPr>
        <w:t>والتناص</w:t>
      </w:r>
      <w:proofErr w:type="spellEnd"/>
      <w:r w:rsidRPr="008441BE">
        <w:rPr>
          <w:rFonts w:ascii="Traditional Arabic" w:hAnsi="Traditional Arabic" w:cs="Traditional Arabic"/>
          <w:sz w:val="32"/>
          <w:szCs w:val="32"/>
          <w:rtl/>
        </w:rPr>
        <w:t xml:space="preserve"> الخارجي ضمن نصوص "عيون البصائر"،تشتمل الدراسة على مقدمة ومدخل وأربعة فصول، وخاتمة:</w:t>
      </w:r>
    </w:p>
    <w:p w:rsidR="000E205C" w:rsidRPr="008441BE" w:rsidRDefault="000E205C" w:rsidP="009B7585">
      <w:pPr>
        <w:bidi/>
        <w:spacing w:after="0" w:line="240" w:lineRule="auto"/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8441BE">
        <w:rPr>
          <w:rFonts w:ascii="Traditional Arabic" w:hAnsi="Traditional Arabic" w:cs="Traditional Arabic"/>
          <w:sz w:val="32"/>
          <w:szCs w:val="32"/>
          <w:rtl/>
        </w:rPr>
        <w:t xml:space="preserve"> تنا</w:t>
      </w:r>
      <w:r w:rsidR="008441BE">
        <w:rPr>
          <w:rFonts w:ascii="Traditional Arabic" w:hAnsi="Traditional Arabic" w:cs="Traditional Arabic"/>
          <w:sz w:val="32"/>
          <w:szCs w:val="32"/>
          <w:rtl/>
        </w:rPr>
        <w:t>ولت في المقدمة التعريف بالموضوع</w:t>
      </w:r>
      <w:r w:rsidRPr="008441BE">
        <w:rPr>
          <w:rFonts w:ascii="Traditional Arabic" w:hAnsi="Traditional Arabic" w:cs="Traditional Arabic"/>
          <w:sz w:val="32"/>
          <w:szCs w:val="32"/>
          <w:rtl/>
        </w:rPr>
        <w:t>،</w:t>
      </w:r>
      <w:r w:rsidR="009B7585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8441BE">
        <w:rPr>
          <w:rFonts w:ascii="Traditional Arabic" w:hAnsi="Traditional Arabic" w:cs="Traditional Arabic"/>
          <w:sz w:val="32"/>
          <w:szCs w:val="32"/>
          <w:rtl/>
        </w:rPr>
        <w:t>و</w:t>
      </w:r>
      <w:r w:rsidR="009B7585">
        <w:rPr>
          <w:rFonts w:ascii="Traditional Arabic" w:hAnsi="Traditional Arabic" w:cs="Traditional Arabic" w:hint="cs"/>
          <w:sz w:val="32"/>
          <w:szCs w:val="32"/>
          <w:rtl/>
        </w:rPr>
        <w:t xml:space="preserve">درست في المدخل </w:t>
      </w:r>
      <w:r w:rsidRPr="008441BE">
        <w:rPr>
          <w:rFonts w:ascii="Traditional Arabic" w:hAnsi="Traditional Arabic" w:cs="Traditional Arabic"/>
          <w:sz w:val="32"/>
          <w:szCs w:val="32"/>
          <w:rtl/>
        </w:rPr>
        <w:t>مسيرة التجربة النثرية ف</w:t>
      </w:r>
      <w:r w:rsidR="009B7585">
        <w:rPr>
          <w:rFonts w:ascii="Traditional Arabic" w:hAnsi="Traditional Arabic" w:cs="Traditional Arabic"/>
          <w:sz w:val="32"/>
          <w:szCs w:val="32"/>
          <w:rtl/>
        </w:rPr>
        <w:t>ي عهد</w:t>
      </w:r>
      <w:r w:rsidR="009B7585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8441BE">
        <w:rPr>
          <w:rFonts w:ascii="Traditional Arabic" w:hAnsi="Traditional Arabic" w:cs="Traditional Arabic"/>
          <w:sz w:val="32"/>
          <w:szCs w:val="32"/>
          <w:rtl/>
        </w:rPr>
        <w:t xml:space="preserve">"البشير </w:t>
      </w:r>
      <w:proofErr w:type="spellStart"/>
      <w:r w:rsidR="008441BE">
        <w:rPr>
          <w:rFonts w:ascii="Traditional Arabic" w:hAnsi="Traditional Arabic" w:cs="Traditional Arabic"/>
          <w:sz w:val="32"/>
          <w:szCs w:val="32"/>
          <w:rtl/>
        </w:rPr>
        <w:t>الإبراهيمي"</w:t>
      </w:r>
      <w:r w:rsidR="008441BE"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Pr="008441BE">
        <w:rPr>
          <w:rFonts w:ascii="Traditional Arabic" w:hAnsi="Traditional Arabic" w:cs="Traditional Arabic"/>
          <w:sz w:val="32"/>
          <w:szCs w:val="32"/>
          <w:rtl/>
        </w:rPr>
        <w:t>وحاولت</w:t>
      </w:r>
      <w:proofErr w:type="spellEnd"/>
      <w:r w:rsidRPr="008441BE">
        <w:rPr>
          <w:rFonts w:ascii="Traditional Arabic" w:hAnsi="Traditional Arabic" w:cs="Traditional Arabic"/>
          <w:sz w:val="32"/>
          <w:szCs w:val="32"/>
          <w:rtl/>
        </w:rPr>
        <w:t xml:space="preserve"> في الفصل الأول </w:t>
      </w:r>
      <w:r w:rsidR="009B7585">
        <w:rPr>
          <w:rFonts w:ascii="Traditional Arabic" w:hAnsi="Traditional Arabic" w:cs="Traditional Arabic"/>
          <w:sz w:val="32"/>
          <w:szCs w:val="32"/>
          <w:rtl/>
        </w:rPr>
        <w:t>تحديد مفهوم المصطلحات الأساسية</w:t>
      </w:r>
      <w:r w:rsidR="009B7585">
        <w:rPr>
          <w:rFonts w:ascii="Traditional Arabic" w:hAnsi="Traditional Arabic" w:cs="Traditional Arabic" w:hint="cs"/>
          <w:sz w:val="32"/>
          <w:szCs w:val="32"/>
          <w:rtl/>
        </w:rPr>
        <w:t xml:space="preserve">، </w:t>
      </w:r>
      <w:r w:rsidRPr="008441BE">
        <w:rPr>
          <w:rFonts w:ascii="Traditional Arabic" w:hAnsi="Traditional Arabic" w:cs="Traditional Arabic"/>
          <w:sz w:val="32"/>
          <w:szCs w:val="32"/>
          <w:rtl/>
        </w:rPr>
        <w:t>ودرست في الفصل</w:t>
      </w:r>
      <w:r w:rsidR="009B7585">
        <w:rPr>
          <w:rFonts w:ascii="Traditional Arabic" w:hAnsi="Traditional Arabic" w:cs="Traditional Arabic" w:hint="cs"/>
          <w:sz w:val="32"/>
          <w:szCs w:val="32"/>
          <w:rtl/>
        </w:rPr>
        <w:t>ين</w:t>
      </w:r>
      <w:r w:rsidRPr="008441BE">
        <w:rPr>
          <w:rFonts w:ascii="Traditional Arabic" w:hAnsi="Traditional Arabic" w:cs="Traditional Arabic"/>
          <w:sz w:val="32"/>
          <w:szCs w:val="32"/>
          <w:rtl/>
        </w:rPr>
        <w:t xml:space="preserve"> الثاني</w:t>
      </w:r>
      <w:r w:rsidR="009B7585">
        <w:rPr>
          <w:rFonts w:ascii="Traditional Arabic" w:hAnsi="Traditional Arabic" w:cs="Traditional Arabic" w:hint="cs"/>
          <w:sz w:val="32"/>
          <w:szCs w:val="32"/>
          <w:rtl/>
        </w:rPr>
        <w:t xml:space="preserve"> والثالث</w:t>
      </w:r>
      <w:r w:rsidRPr="008441BE">
        <w:rPr>
          <w:rFonts w:ascii="Traditional Arabic" w:hAnsi="Traditional Arabic" w:cs="Traditional Arabic"/>
          <w:sz w:val="32"/>
          <w:szCs w:val="32"/>
          <w:rtl/>
        </w:rPr>
        <w:t xml:space="preserve"> تجليات </w:t>
      </w:r>
      <w:proofErr w:type="spellStart"/>
      <w:r w:rsidRPr="008441BE">
        <w:rPr>
          <w:rFonts w:ascii="Traditional Arabic" w:hAnsi="Traditional Arabic" w:cs="Traditional Arabic"/>
          <w:sz w:val="32"/>
          <w:szCs w:val="32"/>
          <w:rtl/>
        </w:rPr>
        <w:t>التناص</w:t>
      </w:r>
      <w:proofErr w:type="spellEnd"/>
      <w:r w:rsidRPr="008441BE">
        <w:rPr>
          <w:rFonts w:ascii="Traditional Arabic" w:hAnsi="Traditional Arabic" w:cs="Traditional Arabic"/>
          <w:sz w:val="32"/>
          <w:szCs w:val="32"/>
          <w:rtl/>
        </w:rPr>
        <w:t xml:space="preserve"> الداخلي</w:t>
      </w:r>
      <w:r w:rsidR="009B7585">
        <w:rPr>
          <w:rFonts w:ascii="Traditional Arabic" w:hAnsi="Traditional Arabic" w:cs="Traditional Arabic" w:hint="cs"/>
          <w:sz w:val="32"/>
          <w:szCs w:val="32"/>
          <w:rtl/>
        </w:rPr>
        <w:t xml:space="preserve"> والخارجي</w:t>
      </w:r>
      <w:r w:rsidR="009B7585">
        <w:rPr>
          <w:rFonts w:ascii="Traditional Arabic" w:hAnsi="Traditional Arabic" w:cs="Traditional Arabic"/>
          <w:sz w:val="32"/>
          <w:szCs w:val="32"/>
          <w:rtl/>
        </w:rPr>
        <w:t xml:space="preserve"> في "عيون </w:t>
      </w:r>
      <w:proofErr w:type="spellStart"/>
      <w:r w:rsidR="009B7585">
        <w:rPr>
          <w:rFonts w:ascii="Traditional Arabic" w:hAnsi="Traditional Arabic" w:cs="Traditional Arabic"/>
          <w:sz w:val="32"/>
          <w:szCs w:val="32"/>
          <w:rtl/>
        </w:rPr>
        <w:t>البصائر"،</w:t>
      </w:r>
      <w:r w:rsidR="00530738" w:rsidRPr="008441BE">
        <w:rPr>
          <w:rFonts w:ascii="Traditional Arabic" w:hAnsi="Traditional Arabic" w:cs="Traditional Arabic"/>
          <w:sz w:val="32"/>
          <w:szCs w:val="32"/>
          <w:rtl/>
        </w:rPr>
        <w:t>أما</w:t>
      </w:r>
      <w:proofErr w:type="spellEnd"/>
      <w:r w:rsidR="00530738" w:rsidRPr="008441BE">
        <w:rPr>
          <w:rFonts w:ascii="Traditional Arabic" w:hAnsi="Traditional Arabic" w:cs="Traditional Arabic"/>
          <w:sz w:val="32"/>
          <w:szCs w:val="32"/>
          <w:rtl/>
        </w:rPr>
        <w:t xml:space="preserve"> الفصل الرابع فخصصته لدراسة الخصائص الفنية في "عيون البصائر</w:t>
      </w:r>
      <w:r w:rsidR="008441BE">
        <w:rPr>
          <w:rFonts w:ascii="Traditional Arabic" w:hAnsi="Traditional Arabic" w:cs="Traditional Arabic"/>
          <w:sz w:val="32"/>
          <w:szCs w:val="32"/>
          <w:rtl/>
        </w:rPr>
        <w:t xml:space="preserve">" للوقوف على تجليات الشعرية في نصوص </w:t>
      </w:r>
      <w:proofErr w:type="spellStart"/>
      <w:r w:rsidR="008441BE">
        <w:rPr>
          <w:rFonts w:ascii="Traditional Arabic" w:hAnsi="Traditional Arabic" w:cs="Traditional Arabic"/>
          <w:sz w:val="32"/>
          <w:szCs w:val="32"/>
          <w:rtl/>
        </w:rPr>
        <w:t>الإبراهيمي</w:t>
      </w:r>
      <w:r w:rsidR="008441BE"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="009B7585">
        <w:rPr>
          <w:rFonts w:ascii="Traditional Arabic" w:hAnsi="Traditional Arabic" w:cs="Traditional Arabic" w:hint="cs"/>
          <w:sz w:val="32"/>
          <w:szCs w:val="32"/>
          <w:rtl/>
        </w:rPr>
        <w:t>وختمت</w:t>
      </w:r>
      <w:proofErr w:type="spellEnd"/>
      <w:r w:rsidR="009B7585">
        <w:rPr>
          <w:rFonts w:ascii="Traditional Arabic" w:hAnsi="Traditional Arabic" w:cs="Traditional Arabic" w:hint="cs"/>
          <w:sz w:val="32"/>
          <w:szCs w:val="32"/>
          <w:rtl/>
        </w:rPr>
        <w:t xml:space="preserve"> بأهم النتائج </w:t>
      </w:r>
      <w:proofErr w:type="spellStart"/>
      <w:r w:rsidR="009B7585">
        <w:rPr>
          <w:rFonts w:ascii="Traditional Arabic" w:hAnsi="Traditional Arabic" w:cs="Traditional Arabic" w:hint="cs"/>
          <w:sz w:val="32"/>
          <w:szCs w:val="32"/>
          <w:rtl/>
        </w:rPr>
        <w:t>المتوصل</w:t>
      </w:r>
      <w:proofErr w:type="spellEnd"/>
      <w:r w:rsidR="009B7585">
        <w:rPr>
          <w:rFonts w:ascii="Traditional Arabic" w:hAnsi="Traditional Arabic" w:cs="Traditional Arabic" w:hint="cs"/>
          <w:sz w:val="32"/>
          <w:szCs w:val="32"/>
          <w:rtl/>
        </w:rPr>
        <w:t xml:space="preserve"> إليها.</w:t>
      </w:r>
    </w:p>
    <w:sectPr w:rsidR="000E205C" w:rsidRPr="008441BE" w:rsidSect="00530738">
      <w:pgSz w:w="11906" w:h="16838"/>
      <w:pgMar w:top="851" w:right="1417" w:bottom="1417" w:left="1417" w:header="708" w:footer="708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E205C"/>
    <w:rsid w:val="000E205C"/>
    <w:rsid w:val="00107FAF"/>
    <w:rsid w:val="00530738"/>
    <w:rsid w:val="008441BE"/>
    <w:rsid w:val="009B7585"/>
    <w:rsid w:val="00C90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91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175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pc04</cp:lastModifiedBy>
  <cp:revision>4</cp:revision>
  <dcterms:created xsi:type="dcterms:W3CDTF">2017-07-10T18:46:00Z</dcterms:created>
  <dcterms:modified xsi:type="dcterms:W3CDTF">2017-07-12T07:49:00Z</dcterms:modified>
</cp:coreProperties>
</file>